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B4" w:rsidRPr="001C0EE9" w:rsidRDefault="007C3CB4" w:rsidP="007C3CB4">
      <w:pPr>
        <w:jc w:val="center"/>
        <w:rPr>
          <w:sz w:val="16"/>
          <w:szCs w:val="16"/>
        </w:rPr>
      </w:pPr>
    </w:p>
    <w:p w:rsidR="00353958" w:rsidRPr="00353958" w:rsidRDefault="00353958" w:rsidP="00353958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Times New Roman"/>
          <w:b/>
          <w:noProof/>
          <w:szCs w:val="20"/>
        </w:rPr>
      </w:pPr>
      <w:r w:rsidRPr="00353958">
        <w:rPr>
          <w:rFonts w:ascii="Arial" w:eastAsia="Times New Roman" w:hAnsi="Arial" w:cs="Times New Roman"/>
          <w:b/>
          <w:noProof/>
          <w:szCs w:val="20"/>
        </w:rPr>
        <w:t>Objectifs de la cellule :</w:t>
      </w:r>
    </w:p>
    <w:p w:rsidR="00353958" w:rsidRPr="00353958" w:rsidRDefault="00353958" w:rsidP="00353958">
      <w:pPr>
        <w:spacing w:before="120" w:after="0" w:line="240" w:lineRule="auto"/>
        <w:ind w:firstLine="340"/>
        <w:jc w:val="both"/>
        <w:rPr>
          <w:rFonts w:ascii="Arial" w:eastAsia="Times New Roman" w:hAnsi="Arial" w:cs="Times New Roman"/>
          <w:noProof/>
          <w:szCs w:val="20"/>
        </w:rPr>
      </w:pPr>
      <w:r w:rsidRPr="00353958">
        <w:rPr>
          <w:rFonts w:ascii="Arial" w:eastAsia="Times New Roman" w:hAnsi="Arial" w:cs="Times New Roman"/>
          <w:noProof/>
          <w:szCs w:val="20"/>
        </w:rPr>
        <w:t>La cellule QSE du CIMAP a pour mission de soutenir les activités du laboratoire dans le domaines de la sûreté, de la sécurité, du respect de l’environnement et de la qualité. Elle a en particulier pour rôle de :</w:t>
      </w:r>
    </w:p>
    <w:p w:rsidR="00353958" w:rsidRPr="00353958" w:rsidRDefault="00353958" w:rsidP="00353958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A453F3">
        <w:rPr>
          <w:rFonts w:ascii="Arial" w:eastAsia="Times New Roman" w:hAnsi="Arial" w:cs="Times New Roman"/>
          <w:b/>
          <w:noProof/>
          <w:szCs w:val="20"/>
        </w:rPr>
        <w:t>conseiller le directeur</w:t>
      </w:r>
      <w:r w:rsidRPr="00353958">
        <w:rPr>
          <w:rFonts w:ascii="Arial" w:eastAsia="Times New Roman" w:hAnsi="Arial" w:cs="Times New Roman"/>
          <w:noProof/>
          <w:szCs w:val="20"/>
        </w:rPr>
        <w:t xml:space="preserve"> dans son rôle de responsable de la séc</w:t>
      </w:r>
      <w:bookmarkStart w:id="0" w:name="_GoBack"/>
      <w:bookmarkEnd w:id="0"/>
      <w:r w:rsidRPr="00353958">
        <w:rPr>
          <w:rFonts w:ascii="Arial" w:eastAsia="Times New Roman" w:hAnsi="Arial" w:cs="Times New Roman"/>
          <w:noProof/>
          <w:szCs w:val="20"/>
        </w:rPr>
        <w:t>urité et d’organisation de la qualité,</w:t>
      </w:r>
    </w:p>
    <w:p w:rsidR="00353958" w:rsidRPr="00353958" w:rsidRDefault="00353958" w:rsidP="00353958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53958">
        <w:rPr>
          <w:rFonts w:ascii="Arial" w:eastAsia="Times New Roman" w:hAnsi="Arial" w:cs="Times New Roman"/>
          <w:noProof/>
          <w:szCs w:val="20"/>
        </w:rPr>
        <w:t xml:space="preserve">apporter un </w:t>
      </w:r>
      <w:r w:rsidRPr="00A453F3">
        <w:rPr>
          <w:rFonts w:ascii="Arial" w:eastAsia="Times New Roman" w:hAnsi="Arial" w:cs="Times New Roman"/>
          <w:b/>
          <w:noProof/>
          <w:szCs w:val="20"/>
        </w:rPr>
        <w:t>soutien aux personnels du laboratoire</w:t>
      </w:r>
      <w:r w:rsidRPr="00353958">
        <w:rPr>
          <w:rFonts w:ascii="Arial" w:eastAsia="Times New Roman" w:hAnsi="Arial" w:cs="Times New Roman"/>
          <w:noProof/>
          <w:szCs w:val="20"/>
        </w:rPr>
        <w:t xml:space="preserve"> dans leurs activités pour atteindre des objectifs de la politique QSE définie par la Direction,</w:t>
      </w:r>
    </w:p>
    <w:p w:rsidR="00353958" w:rsidRPr="00353958" w:rsidRDefault="00353958" w:rsidP="00353958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53958">
        <w:rPr>
          <w:rFonts w:ascii="Arial" w:eastAsia="Times New Roman" w:hAnsi="Arial" w:cs="Times New Roman"/>
          <w:noProof/>
          <w:szCs w:val="20"/>
        </w:rPr>
        <w:t xml:space="preserve">participer avec la Direction à la </w:t>
      </w:r>
      <w:r w:rsidRPr="00A453F3">
        <w:rPr>
          <w:rFonts w:ascii="Arial" w:eastAsia="Times New Roman" w:hAnsi="Arial" w:cs="Times New Roman"/>
          <w:noProof/>
          <w:szCs w:val="20"/>
        </w:rPr>
        <w:t>mise en place d’</w:t>
      </w:r>
      <w:r w:rsidRPr="00A453F3">
        <w:rPr>
          <w:rFonts w:ascii="Arial" w:eastAsia="Times New Roman" w:hAnsi="Arial" w:cs="Times New Roman"/>
          <w:b/>
          <w:noProof/>
          <w:szCs w:val="20"/>
        </w:rPr>
        <w:t>indicateurs</w:t>
      </w:r>
      <w:r w:rsidRPr="00353958">
        <w:rPr>
          <w:rFonts w:ascii="Arial" w:eastAsia="Times New Roman" w:hAnsi="Arial" w:cs="Times New Roman"/>
          <w:noProof/>
          <w:szCs w:val="20"/>
        </w:rPr>
        <w:t xml:space="preserve">, d’évaluation des </w:t>
      </w:r>
      <w:r w:rsidRPr="00A453F3">
        <w:rPr>
          <w:rFonts w:ascii="Arial" w:eastAsia="Times New Roman" w:hAnsi="Arial" w:cs="Times New Roman"/>
          <w:b/>
          <w:noProof/>
          <w:szCs w:val="20"/>
        </w:rPr>
        <w:t>écarts</w:t>
      </w:r>
      <w:r w:rsidRPr="00353958">
        <w:rPr>
          <w:rFonts w:ascii="Arial" w:eastAsia="Times New Roman" w:hAnsi="Arial" w:cs="Times New Roman"/>
          <w:noProof/>
          <w:szCs w:val="20"/>
        </w:rPr>
        <w:t xml:space="preserve"> et d’animation du </w:t>
      </w:r>
      <w:r w:rsidRPr="00A453F3">
        <w:rPr>
          <w:rFonts w:ascii="Arial" w:eastAsia="Times New Roman" w:hAnsi="Arial" w:cs="Times New Roman"/>
          <w:b/>
          <w:noProof/>
          <w:szCs w:val="20"/>
        </w:rPr>
        <w:t>retour d’expériences</w:t>
      </w:r>
      <w:r w:rsidRPr="00353958">
        <w:rPr>
          <w:rFonts w:ascii="Arial" w:eastAsia="Times New Roman" w:hAnsi="Arial" w:cs="Times New Roman"/>
          <w:noProof/>
          <w:szCs w:val="20"/>
        </w:rPr>
        <w:t>,</w:t>
      </w:r>
    </w:p>
    <w:p w:rsidR="00353958" w:rsidRPr="00353958" w:rsidRDefault="00353958" w:rsidP="00353958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53958">
        <w:rPr>
          <w:rFonts w:ascii="Arial" w:eastAsia="Times New Roman" w:hAnsi="Arial" w:cs="Times New Roman"/>
          <w:noProof/>
          <w:szCs w:val="20"/>
        </w:rPr>
        <w:t xml:space="preserve">d’assurer une </w:t>
      </w:r>
      <w:r w:rsidRPr="00A453F3">
        <w:rPr>
          <w:rFonts w:ascii="Arial" w:eastAsia="Times New Roman" w:hAnsi="Arial" w:cs="Times New Roman"/>
          <w:b/>
          <w:noProof/>
          <w:szCs w:val="20"/>
        </w:rPr>
        <w:t>liaison avec les responsables sécurité</w:t>
      </w:r>
      <w:r w:rsidRPr="00353958">
        <w:rPr>
          <w:rFonts w:ascii="Arial" w:eastAsia="Times New Roman" w:hAnsi="Arial" w:cs="Times New Roman"/>
          <w:noProof/>
          <w:szCs w:val="20"/>
        </w:rPr>
        <w:t xml:space="preserve"> des installations dans lesquelle</w:t>
      </w:r>
      <w:r w:rsidR="008F5D01">
        <w:rPr>
          <w:rFonts w:ascii="Arial" w:eastAsia="Times New Roman" w:hAnsi="Arial" w:cs="Times New Roman"/>
          <w:noProof/>
          <w:szCs w:val="20"/>
        </w:rPr>
        <w:t>s le CIMAP est implanté : GANIL, ENSICAEN et IUT d’Alençon,</w:t>
      </w:r>
    </w:p>
    <w:p w:rsidR="00353958" w:rsidRPr="00353958" w:rsidRDefault="00353958" w:rsidP="00353958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A453F3">
        <w:rPr>
          <w:rFonts w:ascii="Arial" w:eastAsia="Times New Roman" w:hAnsi="Arial" w:cs="Times New Roman"/>
          <w:b/>
          <w:noProof/>
          <w:szCs w:val="20"/>
        </w:rPr>
        <w:t>conseiller les responsables d’expériences</w:t>
      </w:r>
      <w:r w:rsidRPr="00353958">
        <w:rPr>
          <w:rFonts w:ascii="Arial" w:eastAsia="Times New Roman" w:hAnsi="Arial" w:cs="Times New Roman"/>
          <w:noProof/>
          <w:szCs w:val="20"/>
        </w:rPr>
        <w:t xml:space="preserve"> et de groupe dès le démarrage des </w:t>
      </w:r>
      <w:r w:rsidRPr="00A453F3">
        <w:rPr>
          <w:rFonts w:ascii="Arial" w:eastAsia="Times New Roman" w:hAnsi="Arial" w:cs="Times New Roman"/>
          <w:b/>
          <w:noProof/>
          <w:szCs w:val="20"/>
        </w:rPr>
        <w:t>nouveaux projets</w:t>
      </w:r>
      <w:r w:rsidRPr="00353958">
        <w:rPr>
          <w:rFonts w:ascii="Arial" w:eastAsia="Times New Roman" w:hAnsi="Arial" w:cs="Times New Roman"/>
          <w:noProof/>
          <w:szCs w:val="20"/>
        </w:rPr>
        <w:t xml:space="preserve">, </w:t>
      </w:r>
    </w:p>
    <w:p w:rsidR="00353958" w:rsidRDefault="00353958" w:rsidP="00353958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53958">
        <w:rPr>
          <w:rFonts w:ascii="Arial" w:eastAsia="Times New Roman" w:hAnsi="Arial" w:cs="Times New Roman"/>
          <w:noProof/>
          <w:szCs w:val="20"/>
        </w:rPr>
        <w:t xml:space="preserve">et, dans le cadre du GANIL ; de répondre aux objectifs définis dans la circulaire 39 – organisation de la sécurité/sûreté au GANIL. </w:t>
      </w:r>
    </w:p>
    <w:p w:rsidR="003706BC" w:rsidRPr="00353958" w:rsidRDefault="003706BC" w:rsidP="003706BC">
      <w:pPr>
        <w:tabs>
          <w:tab w:val="num" w:pos="1420"/>
        </w:tabs>
        <w:spacing w:before="120" w:after="0" w:line="240" w:lineRule="auto"/>
        <w:jc w:val="both"/>
        <w:rPr>
          <w:rFonts w:ascii="Arial" w:eastAsia="Times New Roman" w:hAnsi="Arial" w:cs="Times New Roman"/>
          <w:noProof/>
          <w:szCs w:val="20"/>
        </w:rPr>
      </w:pPr>
    </w:p>
    <w:p w:rsidR="003706BC" w:rsidRPr="003706BC" w:rsidRDefault="003706BC" w:rsidP="003706BC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Times New Roman"/>
          <w:b/>
          <w:noProof/>
          <w:szCs w:val="20"/>
        </w:rPr>
      </w:pPr>
      <w:r w:rsidRPr="003706BC">
        <w:rPr>
          <w:rFonts w:ascii="Arial" w:eastAsia="Times New Roman" w:hAnsi="Arial" w:cs="Times New Roman"/>
          <w:b/>
          <w:noProof/>
          <w:szCs w:val="20"/>
        </w:rPr>
        <w:t xml:space="preserve">Principales activités : </w:t>
      </w:r>
    </w:p>
    <w:p w:rsidR="003706BC" w:rsidRPr="001C0EE9" w:rsidRDefault="003706BC" w:rsidP="003706BC">
      <w:pPr>
        <w:rPr>
          <w:rFonts w:ascii="Arial" w:eastAsia="Times New Roman" w:hAnsi="Arial" w:cs="Times New Roman"/>
          <w:noProof/>
          <w:sz w:val="8"/>
          <w:szCs w:val="8"/>
        </w:rPr>
      </w:pP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 xml:space="preserve">Accueil sécurité des nouveaux entrants </w:t>
      </w:r>
      <w:r w:rsidR="00E5540F">
        <w:rPr>
          <w:rFonts w:ascii="Arial" w:eastAsia="Times New Roman" w:hAnsi="Arial" w:cs="Times New Roman"/>
          <w:noProof/>
          <w:szCs w:val="20"/>
        </w:rPr>
        <w:t>et établissement des fiches d’exposition (liaison avec les médecins de prévention, suivi dosimétrique…)</w:t>
      </w:r>
    </w:p>
    <w:p w:rsidR="003706BC" w:rsidRPr="003942D1" w:rsidRDefault="00D07B4F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t>Gestion des risques liés aux interventions des Entreprises E</w:t>
      </w:r>
      <w:r w:rsidR="003706BC" w:rsidRPr="003942D1">
        <w:rPr>
          <w:rFonts w:ascii="Arial" w:eastAsia="Times New Roman" w:hAnsi="Arial" w:cs="Times New Roman"/>
          <w:noProof/>
          <w:szCs w:val="20"/>
        </w:rPr>
        <w:t>xtérieures</w:t>
      </w:r>
    </w:p>
    <w:p w:rsidR="003706BC" w:rsidRPr="003942D1" w:rsidRDefault="00D07B4F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t>V</w:t>
      </w:r>
      <w:r w:rsidR="003706BC" w:rsidRPr="003942D1">
        <w:rPr>
          <w:rFonts w:ascii="Arial" w:eastAsia="Times New Roman" w:hAnsi="Arial" w:cs="Times New Roman"/>
          <w:noProof/>
          <w:szCs w:val="20"/>
        </w:rPr>
        <w:t>érification</w:t>
      </w:r>
      <w:r>
        <w:rPr>
          <w:rFonts w:ascii="Arial" w:eastAsia="Times New Roman" w:hAnsi="Arial" w:cs="Times New Roman"/>
          <w:noProof/>
          <w:szCs w:val="20"/>
        </w:rPr>
        <w:t>s</w:t>
      </w:r>
      <w:r w:rsidR="003706BC" w:rsidRPr="003942D1">
        <w:rPr>
          <w:rFonts w:ascii="Arial" w:eastAsia="Times New Roman" w:hAnsi="Arial" w:cs="Times New Roman"/>
          <w:noProof/>
          <w:szCs w:val="20"/>
        </w:rPr>
        <w:t xml:space="preserve"> périodiques</w:t>
      </w:r>
      <w:r>
        <w:rPr>
          <w:rFonts w:ascii="Arial" w:eastAsia="Times New Roman" w:hAnsi="Arial" w:cs="Times New Roman"/>
          <w:noProof/>
          <w:szCs w:val="20"/>
        </w:rPr>
        <w:t xml:space="preserve"> réglementaires</w:t>
      </w:r>
      <w:r w:rsidR="002F75FB">
        <w:rPr>
          <w:rFonts w:ascii="Arial" w:eastAsia="Times New Roman" w:hAnsi="Arial" w:cs="Times New Roman"/>
          <w:noProof/>
          <w:szCs w:val="20"/>
        </w:rPr>
        <w:t xml:space="preserve"> (levage, RP, aspirations…)</w:t>
      </w:r>
    </w:p>
    <w:p w:rsidR="003706BC" w:rsidRPr="003942D1" w:rsidRDefault="00D07B4F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t>Rédaction, gestion et diffusion des p</w:t>
      </w:r>
      <w:r w:rsidR="003706BC" w:rsidRPr="003942D1">
        <w:rPr>
          <w:rFonts w:ascii="Arial" w:eastAsia="Times New Roman" w:hAnsi="Arial" w:cs="Times New Roman"/>
          <w:noProof/>
          <w:szCs w:val="20"/>
        </w:rPr>
        <w:t>rocédures, consignes, notes d’information</w:t>
      </w:r>
    </w:p>
    <w:p w:rsidR="003706BC" w:rsidRPr="003942D1" w:rsidRDefault="00D07B4F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t>Organisation et suivi des f</w:t>
      </w:r>
      <w:r w:rsidR="003706BC" w:rsidRPr="003942D1">
        <w:rPr>
          <w:rFonts w:ascii="Arial" w:eastAsia="Times New Roman" w:hAnsi="Arial" w:cs="Times New Roman"/>
          <w:noProof/>
          <w:szCs w:val="20"/>
        </w:rPr>
        <w:t>ormations sécurités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>Gestion des déchets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>Étude</w:t>
      </w:r>
      <w:r w:rsidR="00C679EB">
        <w:rPr>
          <w:rFonts w:ascii="Arial" w:eastAsia="Times New Roman" w:hAnsi="Arial" w:cs="Times New Roman"/>
          <w:noProof/>
          <w:szCs w:val="20"/>
        </w:rPr>
        <w:t>s</w:t>
      </w:r>
      <w:r w:rsidRPr="003942D1">
        <w:rPr>
          <w:rFonts w:ascii="Arial" w:eastAsia="Times New Roman" w:hAnsi="Arial" w:cs="Times New Roman"/>
          <w:noProof/>
          <w:szCs w:val="20"/>
        </w:rPr>
        <w:t xml:space="preserve"> de sécurité</w:t>
      </w:r>
      <w:r w:rsidR="00D07B4F">
        <w:rPr>
          <w:rFonts w:ascii="Arial" w:eastAsia="Times New Roman" w:hAnsi="Arial" w:cs="Times New Roman"/>
          <w:noProof/>
          <w:szCs w:val="20"/>
        </w:rPr>
        <w:t xml:space="preserve"> lors de l’installation</w:t>
      </w:r>
      <w:r w:rsidRPr="003942D1">
        <w:rPr>
          <w:rFonts w:ascii="Arial" w:eastAsia="Times New Roman" w:hAnsi="Arial" w:cs="Times New Roman"/>
          <w:noProof/>
          <w:szCs w:val="20"/>
        </w:rPr>
        <w:t xml:space="preserve"> nouveaux équipements / aménagement</w:t>
      </w:r>
      <w:r w:rsidR="00A453F3">
        <w:rPr>
          <w:rFonts w:ascii="Arial" w:eastAsia="Times New Roman" w:hAnsi="Arial" w:cs="Times New Roman"/>
          <w:noProof/>
          <w:szCs w:val="20"/>
        </w:rPr>
        <w:t>s</w:t>
      </w:r>
    </w:p>
    <w:p w:rsidR="003706BC" w:rsidRPr="003942D1" w:rsidRDefault="00D07B4F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>
        <w:rPr>
          <w:rFonts w:ascii="Arial" w:eastAsia="Times New Roman" w:hAnsi="Arial" w:cs="Times New Roman"/>
          <w:noProof/>
          <w:szCs w:val="20"/>
        </w:rPr>
        <w:t>Etablissement et suivi des i</w:t>
      </w:r>
      <w:r w:rsidR="003706BC" w:rsidRPr="003942D1">
        <w:rPr>
          <w:rFonts w:ascii="Arial" w:eastAsia="Times New Roman" w:hAnsi="Arial" w:cs="Times New Roman"/>
          <w:noProof/>
          <w:szCs w:val="20"/>
        </w:rPr>
        <w:t>ndicateurs sécurité et qualité</w:t>
      </w:r>
      <w:r w:rsidR="00A453F3">
        <w:rPr>
          <w:rFonts w:ascii="Arial" w:eastAsia="Times New Roman" w:hAnsi="Arial" w:cs="Times New Roman"/>
          <w:noProof/>
          <w:szCs w:val="20"/>
        </w:rPr>
        <w:t xml:space="preserve"> (RPS, accidents/incidents…) 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>Mise en place démarche qualité</w:t>
      </w:r>
      <w:r w:rsidR="00D07B4F">
        <w:rPr>
          <w:rFonts w:ascii="Arial" w:eastAsia="Times New Roman" w:hAnsi="Arial" w:cs="Times New Roman"/>
          <w:noProof/>
          <w:szCs w:val="20"/>
        </w:rPr>
        <w:t xml:space="preserve"> (gestion documentaire)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>Enquête</w:t>
      </w:r>
      <w:r w:rsidR="00D07B4F">
        <w:rPr>
          <w:rFonts w:ascii="Arial" w:eastAsia="Times New Roman" w:hAnsi="Arial" w:cs="Times New Roman"/>
          <w:noProof/>
          <w:szCs w:val="20"/>
        </w:rPr>
        <w:t>s</w:t>
      </w:r>
      <w:r w:rsidRPr="003942D1">
        <w:rPr>
          <w:rFonts w:ascii="Arial" w:eastAsia="Times New Roman" w:hAnsi="Arial" w:cs="Times New Roman"/>
          <w:noProof/>
          <w:szCs w:val="20"/>
        </w:rPr>
        <w:t xml:space="preserve"> </w:t>
      </w:r>
      <w:r w:rsidR="00D07B4F">
        <w:rPr>
          <w:rFonts w:ascii="Arial" w:eastAsia="Times New Roman" w:hAnsi="Arial" w:cs="Times New Roman"/>
          <w:noProof/>
          <w:szCs w:val="20"/>
        </w:rPr>
        <w:t xml:space="preserve">suite aux </w:t>
      </w:r>
      <w:r w:rsidRPr="003942D1">
        <w:rPr>
          <w:rFonts w:ascii="Arial" w:eastAsia="Times New Roman" w:hAnsi="Arial" w:cs="Times New Roman"/>
          <w:noProof/>
          <w:szCs w:val="20"/>
        </w:rPr>
        <w:t>accident</w:t>
      </w:r>
      <w:r w:rsidR="00C11831">
        <w:rPr>
          <w:rFonts w:ascii="Arial" w:eastAsia="Times New Roman" w:hAnsi="Arial" w:cs="Times New Roman"/>
          <w:noProof/>
          <w:szCs w:val="20"/>
        </w:rPr>
        <w:t>s/inci</w:t>
      </w:r>
      <w:r w:rsidR="00D07B4F">
        <w:rPr>
          <w:rFonts w:ascii="Arial" w:eastAsia="Times New Roman" w:hAnsi="Arial" w:cs="Times New Roman"/>
          <w:noProof/>
          <w:szCs w:val="20"/>
        </w:rPr>
        <w:t>dents</w:t>
      </w:r>
      <w:r w:rsidRPr="003942D1">
        <w:rPr>
          <w:rFonts w:ascii="Arial" w:eastAsia="Times New Roman" w:hAnsi="Arial" w:cs="Times New Roman"/>
          <w:noProof/>
          <w:szCs w:val="20"/>
        </w:rPr>
        <w:t xml:space="preserve"> du travail</w:t>
      </w:r>
      <w:r w:rsidR="00D07B4F">
        <w:rPr>
          <w:rFonts w:ascii="Arial" w:eastAsia="Times New Roman" w:hAnsi="Arial" w:cs="Times New Roman"/>
          <w:noProof/>
          <w:szCs w:val="20"/>
        </w:rPr>
        <w:t xml:space="preserve"> et tenu des registres SST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 xml:space="preserve">Etudes </w:t>
      </w:r>
      <w:r w:rsidR="00A453F3">
        <w:rPr>
          <w:rFonts w:ascii="Arial" w:eastAsia="Times New Roman" w:hAnsi="Arial" w:cs="Times New Roman"/>
          <w:noProof/>
          <w:szCs w:val="20"/>
        </w:rPr>
        <w:t xml:space="preserve">et autorisations </w:t>
      </w:r>
      <w:r w:rsidRPr="003942D1">
        <w:rPr>
          <w:rFonts w:ascii="Arial" w:eastAsia="Times New Roman" w:hAnsi="Arial" w:cs="Times New Roman"/>
          <w:noProof/>
          <w:szCs w:val="20"/>
        </w:rPr>
        <w:t>spécifiques (</w:t>
      </w:r>
      <w:r w:rsidR="00A453F3">
        <w:rPr>
          <w:rFonts w:ascii="Arial" w:eastAsia="Times New Roman" w:hAnsi="Arial" w:cs="Times New Roman"/>
          <w:noProof/>
          <w:szCs w:val="20"/>
        </w:rPr>
        <w:t xml:space="preserve">ASN, </w:t>
      </w:r>
      <w:r w:rsidRPr="003942D1">
        <w:rPr>
          <w:rFonts w:ascii="Arial" w:eastAsia="Times New Roman" w:hAnsi="Arial" w:cs="Times New Roman"/>
          <w:noProof/>
          <w:szCs w:val="20"/>
        </w:rPr>
        <w:t>bruits, ATEX, évaluation risques chimiques, laser, CEM</w:t>
      </w:r>
      <w:r w:rsidR="002F75FB">
        <w:rPr>
          <w:rFonts w:ascii="Arial" w:eastAsia="Times New Roman" w:hAnsi="Arial" w:cs="Times New Roman"/>
          <w:noProof/>
          <w:szCs w:val="20"/>
        </w:rPr>
        <w:t>, biologiques</w:t>
      </w:r>
      <w:r w:rsidRPr="003942D1">
        <w:rPr>
          <w:rFonts w:ascii="Arial" w:eastAsia="Times New Roman" w:hAnsi="Arial" w:cs="Times New Roman"/>
          <w:noProof/>
          <w:szCs w:val="20"/>
        </w:rPr>
        <w:t>…)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>Gestion des EPI (stock, mise à disposition)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>DUERP (MAJ et suivi)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>Expériences faisceaux GANIL (iTAC, visite de démarrage…)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>Inventaires gaz / chimie et évaluation des risques</w:t>
      </w:r>
    </w:p>
    <w:p w:rsidR="003706BC" w:rsidRPr="003942D1" w:rsidRDefault="003706BC" w:rsidP="003942D1">
      <w:pPr>
        <w:numPr>
          <w:ilvl w:val="1"/>
          <w:numId w:val="1"/>
        </w:numPr>
        <w:tabs>
          <w:tab w:val="num" w:pos="993"/>
        </w:tabs>
        <w:spacing w:before="120" w:after="0" w:line="240" w:lineRule="auto"/>
        <w:ind w:left="993" w:hanging="284"/>
        <w:jc w:val="both"/>
        <w:rPr>
          <w:rFonts w:ascii="Arial" w:eastAsia="Times New Roman" w:hAnsi="Arial" w:cs="Times New Roman"/>
          <w:noProof/>
          <w:szCs w:val="20"/>
        </w:rPr>
      </w:pPr>
      <w:r w:rsidRPr="003942D1">
        <w:rPr>
          <w:rFonts w:ascii="Arial" w:eastAsia="Times New Roman" w:hAnsi="Arial" w:cs="Times New Roman"/>
          <w:noProof/>
          <w:szCs w:val="20"/>
        </w:rPr>
        <w:t>Veille réglementaire</w:t>
      </w:r>
    </w:p>
    <w:p w:rsidR="00353958" w:rsidRPr="00353958" w:rsidRDefault="00353958" w:rsidP="003706BC">
      <w:pPr>
        <w:spacing w:before="120" w:after="0" w:line="240" w:lineRule="auto"/>
        <w:jc w:val="both"/>
        <w:rPr>
          <w:rFonts w:ascii="Arial" w:eastAsia="Times New Roman" w:hAnsi="Arial" w:cs="Times New Roman"/>
          <w:noProof/>
          <w:szCs w:val="20"/>
        </w:rPr>
      </w:pPr>
    </w:p>
    <w:p w:rsidR="00353958" w:rsidRPr="00353958" w:rsidRDefault="00353958" w:rsidP="00353958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Times New Roman"/>
          <w:b/>
          <w:noProof/>
          <w:szCs w:val="20"/>
        </w:rPr>
      </w:pPr>
      <w:r w:rsidRPr="00353958">
        <w:rPr>
          <w:rFonts w:ascii="Arial" w:eastAsia="Times New Roman" w:hAnsi="Arial" w:cs="Times New Roman"/>
          <w:b/>
          <w:noProof/>
          <w:szCs w:val="20"/>
        </w:rPr>
        <w:t>Organisation de la cellule :</w:t>
      </w:r>
    </w:p>
    <w:p w:rsidR="00353958" w:rsidRDefault="0035395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8"/>
        <w:gridCol w:w="1080"/>
        <w:gridCol w:w="1053"/>
        <w:gridCol w:w="5651"/>
      </w:tblGrid>
      <w:tr w:rsidR="00E01384" w:rsidTr="00F05A94">
        <w:tc>
          <w:tcPr>
            <w:tcW w:w="9062" w:type="dxa"/>
            <w:gridSpan w:val="4"/>
            <w:shd w:val="clear" w:color="auto" w:fill="B8CCE4" w:themeFill="accent1" w:themeFillTint="66"/>
          </w:tcPr>
          <w:p w:rsidR="00E01384" w:rsidRDefault="00E01384">
            <w:r>
              <w:t>Rôle</w:t>
            </w:r>
            <w:r w:rsidR="008F5D01">
              <w:t>s</w:t>
            </w:r>
            <w:r>
              <w:t xml:space="preserve"> au sein de la cellule QSE</w:t>
            </w:r>
          </w:p>
        </w:tc>
      </w:tr>
      <w:tr w:rsidR="000C49B3" w:rsidTr="00F05A94">
        <w:tc>
          <w:tcPr>
            <w:tcW w:w="9062" w:type="dxa"/>
            <w:gridSpan w:val="4"/>
          </w:tcPr>
          <w:p w:rsidR="000C49B3" w:rsidRDefault="000C49B3">
            <w:r>
              <w:t>Responsable de la cellule : Quentin Legrand</w:t>
            </w:r>
          </w:p>
          <w:p w:rsidR="000C49B3" w:rsidRDefault="000C49B3">
            <w:r>
              <w:t>Représentant de la direction : Isabelle Monnet</w:t>
            </w:r>
          </w:p>
          <w:p w:rsidR="000C49B3" w:rsidRDefault="000C49B3" w:rsidP="000C49B3">
            <w:r>
              <w:t>Assistants de prévention :</w:t>
            </w:r>
            <w:r w:rsidR="002F75FB">
              <w:t xml:space="preserve"> Franck Dardy</w:t>
            </w:r>
            <w:r>
              <w:t xml:space="preserve">, Sylvain Girard, Quentin Legrand, Franck </w:t>
            </w:r>
            <w:proofErr w:type="spellStart"/>
            <w:r>
              <w:t>Lemarié</w:t>
            </w:r>
            <w:proofErr w:type="spellEnd"/>
            <w:r>
              <w:t xml:space="preserve">, Jean-Marc </w:t>
            </w:r>
            <w:proofErr w:type="spellStart"/>
            <w:r>
              <w:t>Ramillon</w:t>
            </w:r>
            <w:proofErr w:type="spellEnd"/>
          </w:p>
          <w:p w:rsidR="000C49B3" w:rsidRDefault="000C49B3" w:rsidP="001C0EE9">
            <w:r>
              <w:t xml:space="preserve">Correspondants qualité : </w:t>
            </w:r>
            <w:r w:rsidR="00D07B4F">
              <w:t>Isabelle Monnet</w:t>
            </w:r>
          </w:p>
        </w:tc>
      </w:tr>
      <w:tr w:rsidR="00E01384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E01384" w:rsidRDefault="008F5D01" w:rsidP="008F5D01">
            <w:r>
              <w:t>Signature des p</w:t>
            </w:r>
            <w:r w:rsidR="00E01384">
              <w:t>récommandes</w:t>
            </w:r>
            <w:r>
              <w:t xml:space="preserve"> « sécurité »</w:t>
            </w:r>
          </w:p>
        </w:tc>
        <w:tc>
          <w:tcPr>
            <w:tcW w:w="1053" w:type="dxa"/>
          </w:tcPr>
          <w:p w:rsidR="00E01384" w:rsidRDefault="00BA16AF" w:rsidP="00611290">
            <w:proofErr w:type="spellStart"/>
            <w:r>
              <w:t>SG</w:t>
            </w:r>
            <w:r w:rsidR="00D07B4F">
              <w:t>i</w:t>
            </w:r>
            <w:proofErr w:type="spellEnd"/>
            <w:r>
              <w:t xml:space="preserve"> / FL / / QL</w:t>
            </w:r>
          </w:p>
        </w:tc>
        <w:tc>
          <w:tcPr>
            <w:tcW w:w="5651" w:type="dxa"/>
          </w:tcPr>
          <w:p w:rsidR="00E01384" w:rsidRDefault="008F5D01" w:rsidP="008F5D01">
            <w:r>
              <w:t>Mise à jour</w:t>
            </w:r>
            <w:r w:rsidR="003231DD">
              <w:t xml:space="preserve"> des</w:t>
            </w:r>
            <w:r w:rsidR="00E01384">
              <w:t xml:space="preserve"> inventaires chimiques, gaz</w:t>
            </w:r>
            <w:r w:rsidR="00E5540F">
              <w:t>, laser</w:t>
            </w:r>
            <w:r w:rsidR="00E01384">
              <w:t xml:space="preserve">, </w:t>
            </w:r>
            <w:r>
              <w:t>équipements soumis à contrôle périodique</w:t>
            </w:r>
            <w:r w:rsidR="00E01384">
              <w:t>…</w:t>
            </w:r>
          </w:p>
        </w:tc>
      </w:tr>
      <w:tr w:rsidR="008F5D01" w:rsidTr="00F05A94">
        <w:tc>
          <w:tcPr>
            <w:tcW w:w="2358" w:type="dxa"/>
            <w:gridSpan w:val="2"/>
            <w:vMerge w:val="restart"/>
            <w:shd w:val="clear" w:color="auto" w:fill="B8CCE4" w:themeFill="accent1" w:themeFillTint="66"/>
          </w:tcPr>
          <w:p w:rsidR="008F5D01" w:rsidRDefault="008F5D01">
            <w:r>
              <w:t>Gestions des interventions</w:t>
            </w:r>
          </w:p>
        </w:tc>
        <w:tc>
          <w:tcPr>
            <w:tcW w:w="1053" w:type="dxa"/>
          </w:tcPr>
          <w:p w:rsidR="008F5D01" w:rsidRDefault="00E45D98">
            <w:r>
              <w:t xml:space="preserve">FD / QL / FL / </w:t>
            </w:r>
            <w:proofErr w:type="spellStart"/>
            <w:r>
              <w:t>SGi</w:t>
            </w:r>
            <w:proofErr w:type="spellEnd"/>
            <w:r>
              <w:t xml:space="preserve"> / JMR</w:t>
            </w:r>
          </w:p>
        </w:tc>
        <w:tc>
          <w:tcPr>
            <w:tcW w:w="5651" w:type="dxa"/>
          </w:tcPr>
          <w:p w:rsidR="008F5D01" w:rsidRDefault="008F5D01">
            <w:r>
              <w:t>Rédaction et signature des CI002 au GANIL (n° Chrono et diffusion correspondants techniques)</w:t>
            </w:r>
          </w:p>
          <w:p w:rsidR="008F5D01" w:rsidRDefault="008F5D01">
            <w:r>
              <w:t>Rédaction et signature des ICP à l’ENSI (n° chrono et diffusion)</w:t>
            </w:r>
          </w:p>
        </w:tc>
      </w:tr>
      <w:tr w:rsidR="008F5D01" w:rsidTr="00F05A94">
        <w:tc>
          <w:tcPr>
            <w:tcW w:w="2358" w:type="dxa"/>
            <w:gridSpan w:val="2"/>
            <w:vMerge/>
            <w:shd w:val="clear" w:color="auto" w:fill="B8CCE4" w:themeFill="accent1" w:themeFillTint="66"/>
          </w:tcPr>
          <w:p w:rsidR="008F5D01" w:rsidRDefault="008F5D01"/>
        </w:tc>
        <w:tc>
          <w:tcPr>
            <w:tcW w:w="1053" w:type="dxa"/>
          </w:tcPr>
          <w:p w:rsidR="008F5D01" w:rsidRDefault="008F5D01" w:rsidP="00C11831">
            <w:r>
              <w:t xml:space="preserve">JMR / </w:t>
            </w:r>
            <w:r w:rsidR="00C11831">
              <w:t>FD</w:t>
            </w:r>
            <w:r>
              <w:t xml:space="preserve"> / QL</w:t>
            </w:r>
          </w:p>
        </w:tc>
        <w:tc>
          <w:tcPr>
            <w:tcW w:w="5651" w:type="dxa"/>
          </w:tcPr>
          <w:p w:rsidR="008F5D01" w:rsidRDefault="008F5D01">
            <w:r>
              <w:t>Donneurs d’ordre</w:t>
            </w:r>
          </w:p>
        </w:tc>
      </w:tr>
      <w:tr w:rsidR="008F5D01" w:rsidTr="00F05A94">
        <w:tc>
          <w:tcPr>
            <w:tcW w:w="2358" w:type="dxa"/>
            <w:gridSpan w:val="2"/>
            <w:vMerge/>
            <w:shd w:val="clear" w:color="auto" w:fill="B8CCE4" w:themeFill="accent1" w:themeFillTint="66"/>
          </w:tcPr>
          <w:p w:rsidR="008F5D01" w:rsidRDefault="008F5D01"/>
        </w:tc>
        <w:tc>
          <w:tcPr>
            <w:tcW w:w="1053" w:type="dxa"/>
          </w:tcPr>
          <w:p w:rsidR="008F5D01" w:rsidRDefault="008F5D01">
            <w:r>
              <w:t>QL</w:t>
            </w:r>
          </w:p>
        </w:tc>
        <w:tc>
          <w:tcPr>
            <w:tcW w:w="5651" w:type="dxa"/>
          </w:tcPr>
          <w:p w:rsidR="008F5D01" w:rsidRDefault="008F5D01">
            <w:r>
              <w:t>Rédaction des plan</w:t>
            </w:r>
            <w:r w:rsidR="00C11831">
              <w:t>s</w:t>
            </w:r>
            <w:r>
              <w:t xml:space="preserve"> de prévention</w:t>
            </w:r>
          </w:p>
        </w:tc>
      </w:tr>
      <w:tr w:rsidR="00E01384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E01384" w:rsidRDefault="006F49AC">
            <w:r>
              <w:t>C</w:t>
            </w:r>
            <w:r w:rsidR="00E01384">
              <w:t>onsignes</w:t>
            </w:r>
            <w:r>
              <w:t xml:space="preserve"> et communication</w:t>
            </w:r>
            <w:r w:rsidR="00E01384">
              <w:t xml:space="preserve"> QSE</w:t>
            </w:r>
          </w:p>
        </w:tc>
        <w:tc>
          <w:tcPr>
            <w:tcW w:w="1053" w:type="dxa"/>
          </w:tcPr>
          <w:p w:rsidR="00E01384" w:rsidRDefault="00E01384">
            <w:r>
              <w:t>Tous</w:t>
            </w:r>
          </w:p>
        </w:tc>
        <w:tc>
          <w:tcPr>
            <w:tcW w:w="5651" w:type="dxa"/>
          </w:tcPr>
          <w:p w:rsidR="00E01384" w:rsidRDefault="003231DD">
            <w:r>
              <w:t>Information des</w:t>
            </w:r>
            <w:r w:rsidR="008F5D01">
              <w:t xml:space="preserve"> nouveaux</w:t>
            </w:r>
            <w:r w:rsidR="00E01384">
              <w:t xml:space="preserve"> projet</w:t>
            </w:r>
            <w:r>
              <w:t>s</w:t>
            </w:r>
            <w:r w:rsidR="008F5D01">
              <w:t xml:space="preserve"> dans les groupes</w:t>
            </w:r>
            <w:r>
              <w:t xml:space="preserve">, </w:t>
            </w:r>
            <w:r w:rsidR="008F5D01">
              <w:t xml:space="preserve">des </w:t>
            </w:r>
            <w:r>
              <w:t xml:space="preserve">interventions </w:t>
            </w:r>
            <w:r w:rsidR="008F5D01">
              <w:t>programmées</w:t>
            </w:r>
            <w:r>
              <w:t>…</w:t>
            </w:r>
          </w:p>
          <w:p w:rsidR="00E01384" w:rsidRDefault="008F5D01">
            <w:r>
              <w:t>Participation aux</w:t>
            </w:r>
            <w:r w:rsidR="003231DD">
              <w:t xml:space="preserve"> </w:t>
            </w:r>
            <w:r>
              <w:t>Études</w:t>
            </w:r>
            <w:r w:rsidR="003231DD">
              <w:t xml:space="preserve"> de </w:t>
            </w:r>
            <w:r w:rsidR="00E01384">
              <w:t>P</w:t>
            </w:r>
            <w:r w:rsidR="003231DD">
              <w:t>oste</w:t>
            </w:r>
            <w:r w:rsidR="00E01384">
              <w:t xml:space="preserve">, </w:t>
            </w:r>
            <w:r w:rsidR="003231DD">
              <w:t xml:space="preserve">enquêtes </w:t>
            </w:r>
            <w:r w:rsidR="00E01384">
              <w:t>AT</w:t>
            </w:r>
            <w:r w:rsidR="00613F9E">
              <w:t xml:space="preserve">, réunions QSE </w:t>
            </w:r>
          </w:p>
          <w:p w:rsidR="00E01384" w:rsidRDefault="003231DD">
            <w:r>
              <w:t>Validation des</w:t>
            </w:r>
            <w:r w:rsidR="00E01384">
              <w:t xml:space="preserve"> note</w:t>
            </w:r>
            <w:r>
              <w:t>s</w:t>
            </w:r>
            <w:r w:rsidR="00E01384">
              <w:t xml:space="preserve"> d’information et procédure</w:t>
            </w:r>
            <w:r>
              <w:t>s</w:t>
            </w:r>
          </w:p>
        </w:tc>
      </w:tr>
      <w:tr w:rsidR="000C49B3" w:rsidTr="00F05A94">
        <w:tc>
          <w:tcPr>
            <w:tcW w:w="1278" w:type="dxa"/>
            <w:vMerge w:val="restart"/>
            <w:shd w:val="clear" w:color="auto" w:fill="B8CCE4" w:themeFill="accent1" w:themeFillTint="66"/>
          </w:tcPr>
          <w:p w:rsidR="00613F9E" w:rsidRDefault="008F5D01">
            <w:r>
              <w:t>Contrôles périodiques</w:t>
            </w:r>
          </w:p>
        </w:tc>
        <w:tc>
          <w:tcPr>
            <w:tcW w:w="1080" w:type="dxa"/>
            <w:shd w:val="clear" w:color="auto" w:fill="B8CCE4" w:themeFill="accent1" w:themeFillTint="66"/>
          </w:tcPr>
          <w:p w:rsidR="00613F9E" w:rsidRDefault="00613F9E">
            <w:r>
              <w:t>Machines</w:t>
            </w:r>
          </w:p>
        </w:tc>
        <w:tc>
          <w:tcPr>
            <w:tcW w:w="1053" w:type="dxa"/>
          </w:tcPr>
          <w:p w:rsidR="00613F9E" w:rsidRDefault="00613F9E" w:rsidP="00DE1A35">
            <w:r>
              <w:t xml:space="preserve">JMR </w:t>
            </w:r>
          </w:p>
        </w:tc>
        <w:tc>
          <w:tcPr>
            <w:tcW w:w="5651" w:type="dxa"/>
            <w:vMerge w:val="restart"/>
          </w:tcPr>
          <w:p w:rsidR="00613F9E" w:rsidRDefault="00613F9E">
            <w:r>
              <w:t xml:space="preserve">Réalisation des contrôles, accompagnement des prestataires, </w:t>
            </w:r>
            <w:r w:rsidR="003231DD">
              <w:t>préparation du matériel…</w:t>
            </w:r>
          </w:p>
        </w:tc>
      </w:tr>
      <w:tr w:rsidR="000C49B3" w:rsidTr="00F05A94">
        <w:tc>
          <w:tcPr>
            <w:tcW w:w="1278" w:type="dxa"/>
            <w:vMerge/>
            <w:shd w:val="clear" w:color="auto" w:fill="B8CCE4" w:themeFill="accent1" w:themeFillTint="66"/>
          </w:tcPr>
          <w:p w:rsidR="00BA16AF" w:rsidRDefault="00BA16AF"/>
        </w:tc>
        <w:tc>
          <w:tcPr>
            <w:tcW w:w="1080" w:type="dxa"/>
            <w:shd w:val="clear" w:color="auto" w:fill="B8CCE4" w:themeFill="accent1" w:themeFillTint="66"/>
          </w:tcPr>
          <w:p w:rsidR="00BA16AF" w:rsidRDefault="00BA16AF">
            <w:r>
              <w:t>Cryo</w:t>
            </w:r>
          </w:p>
        </w:tc>
        <w:tc>
          <w:tcPr>
            <w:tcW w:w="1053" w:type="dxa"/>
          </w:tcPr>
          <w:p w:rsidR="00BA16AF" w:rsidRDefault="00BA16AF">
            <w:r>
              <w:t>JMR</w:t>
            </w:r>
          </w:p>
        </w:tc>
        <w:tc>
          <w:tcPr>
            <w:tcW w:w="5651" w:type="dxa"/>
            <w:vMerge/>
          </w:tcPr>
          <w:p w:rsidR="00BA16AF" w:rsidRDefault="00BA16AF"/>
        </w:tc>
      </w:tr>
      <w:tr w:rsidR="000C49B3" w:rsidTr="00F05A94">
        <w:tc>
          <w:tcPr>
            <w:tcW w:w="1278" w:type="dxa"/>
            <w:vMerge/>
            <w:shd w:val="clear" w:color="auto" w:fill="B8CCE4" w:themeFill="accent1" w:themeFillTint="66"/>
          </w:tcPr>
          <w:p w:rsidR="00BA16AF" w:rsidRDefault="00BA16AF"/>
        </w:tc>
        <w:tc>
          <w:tcPr>
            <w:tcW w:w="1080" w:type="dxa"/>
            <w:shd w:val="clear" w:color="auto" w:fill="B8CCE4" w:themeFill="accent1" w:themeFillTint="66"/>
          </w:tcPr>
          <w:p w:rsidR="00BA16AF" w:rsidRDefault="00BA16AF">
            <w:r>
              <w:t>Levage</w:t>
            </w:r>
          </w:p>
        </w:tc>
        <w:tc>
          <w:tcPr>
            <w:tcW w:w="1053" w:type="dxa"/>
          </w:tcPr>
          <w:p w:rsidR="00BA16AF" w:rsidRDefault="00DE1A35" w:rsidP="00BA16AF">
            <w:r>
              <w:t xml:space="preserve">FD </w:t>
            </w:r>
            <w:r w:rsidR="00BA16AF">
              <w:t>/ QL</w:t>
            </w:r>
          </w:p>
        </w:tc>
        <w:tc>
          <w:tcPr>
            <w:tcW w:w="5651" w:type="dxa"/>
            <w:vMerge/>
          </w:tcPr>
          <w:p w:rsidR="00BA16AF" w:rsidRDefault="00BA16AF"/>
        </w:tc>
      </w:tr>
      <w:tr w:rsidR="000C49B3" w:rsidTr="00F05A94">
        <w:tc>
          <w:tcPr>
            <w:tcW w:w="1278" w:type="dxa"/>
            <w:vMerge/>
            <w:shd w:val="clear" w:color="auto" w:fill="B8CCE4" w:themeFill="accent1" w:themeFillTint="66"/>
          </w:tcPr>
          <w:p w:rsidR="00BA16AF" w:rsidRDefault="00BA16AF"/>
        </w:tc>
        <w:tc>
          <w:tcPr>
            <w:tcW w:w="1080" w:type="dxa"/>
            <w:shd w:val="clear" w:color="auto" w:fill="B8CCE4" w:themeFill="accent1" w:themeFillTint="66"/>
          </w:tcPr>
          <w:p w:rsidR="00BA16AF" w:rsidRDefault="00BA16AF">
            <w:r>
              <w:t>Gaz</w:t>
            </w:r>
          </w:p>
        </w:tc>
        <w:tc>
          <w:tcPr>
            <w:tcW w:w="1053" w:type="dxa"/>
          </w:tcPr>
          <w:p w:rsidR="00BA16AF" w:rsidRDefault="00BA16AF" w:rsidP="00BA16AF">
            <w:r>
              <w:t>QL</w:t>
            </w:r>
            <w:r w:rsidR="003942D1">
              <w:t xml:space="preserve"> / FD</w:t>
            </w:r>
          </w:p>
        </w:tc>
        <w:tc>
          <w:tcPr>
            <w:tcW w:w="5651" w:type="dxa"/>
            <w:vMerge/>
          </w:tcPr>
          <w:p w:rsidR="00BA16AF" w:rsidRDefault="00BA16AF"/>
        </w:tc>
      </w:tr>
      <w:tr w:rsidR="00E45D98" w:rsidTr="00E45D98">
        <w:tc>
          <w:tcPr>
            <w:tcW w:w="2358" w:type="dxa"/>
            <w:gridSpan w:val="2"/>
            <w:shd w:val="clear" w:color="auto" w:fill="B8CCE4" w:themeFill="accent1" w:themeFillTint="66"/>
          </w:tcPr>
          <w:p w:rsidR="00E45D98" w:rsidRDefault="00E45D98">
            <w:r>
              <w:t>Gestion des trousses de secours</w:t>
            </w:r>
          </w:p>
        </w:tc>
        <w:tc>
          <w:tcPr>
            <w:tcW w:w="1053" w:type="dxa"/>
            <w:shd w:val="clear" w:color="auto" w:fill="auto"/>
          </w:tcPr>
          <w:p w:rsidR="00E45D98" w:rsidRPr="002F75FB" w:rsidRDefault="00E45D98" w:rsidP="00E45D98">
            <w:pPr>
              <w:rPr>
                <w:highlight w:val="yellow"/>
              </w:rPr>
            </w:pPr>
            <w:r w:rsidRPr="00E45D98">
              <w:t>FL / FD</w:t>
            </w:r>
          </w:p>
        </w:tc>
        <w:tc>
          <w:tcPr>
            <w:tcW w:w="5651" w:type="dxa"/>
          </w:tcPr>
          <w:p w:rsidR="00E45D98" w:rsidRDefault="00E45D98">
            <w:r>
              <w:t>Suivi du stock, commandes</w:t>
            </w:r>
          </w:p>
        </w:tc>
      </w:tr>
      <w:tr w:rsidR="00E5540F" w:rsidTr="006B64C7">
        <w:tc>
          <w:tcPr>
            <w:tcW w:w="2358" w:type="dxa"/>
            <w:gridSpan w:val="2"/>
            <w:shd w:val="clear" w:color="auto" w:fill="B8CCE4" w:themeFill="accent1" w:themeFillTint="66"/>
          </w:tcPr>
          <w:p w:rsidR="00B6432A" w:rsidRDefault="00E5540F" w:rsidP="006B64C7">
            <w:r>
              <w:t>Tenue des registres SST</w:t>
            </w:r>
          </w:p>
        </w:tc>
        <w:tc>
          <w:tcPr>
            <w:tcW w:w="1053" w:type="dxa"/>
          </w:tcPr>
          <w:p w:rsidR="00E5540F" w:rsidRDefault="00E5540F" w:rsidP="006B64C7">
            <w:r>
              <w:t>FD / FL</w:t>
            </w:r>
          </w:p>
        </w:tc>
        <w:tc>
          <w:tcPr>
            <w:tcW w:w="5651" w:type="dxa"/>
          </w:tcPr>
          <w:p w:rsidR="00E5540F" w:rsidRDefault="00E5540F" w:rsidP="006B64C7">
            <w:r>
              <w:t>Mise à disposition / Information de la cellule, de la direction et des tutelles / Suivi des actions correctives</w:t>
            </w:r>
          </w:p>
        </w:tc>
      </w:tr>
      <w:tr w:rsidR="00BA16AF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BA16AF" w:rsidRDefault="00BA16AF">
            <w:r>
              <w:t>Gestion déchet</w:t>
            </w:r>
            <w:r w:rsidR="003942D1">
              <w:t>s</w:t>
            </w:r>
          </w:p>
        </w:tc>
        <w:tc>
          <w:tcPr>
            <w:tcW w:w="1053" w:type="dxa"/>
          </w:tcPr>
          <w:p w:rsidR="00BA16AF" w:rsidRDefault="00DE1A35">
            <w:r>
              <w:t>QL</w:t>
            </w:r>
            <w:r w:rsidR="007C3CB4">
              <w:t xml:space="preserve"> </w:t>
            </w:r>
            <w:r w:rsidR="003942D1">
              <w:t>/ FD</w:t>
            </w:r>
          </w:p>
        </w:tc>
        <w:tc>
          <w:tcPr>
            <w:tcW w:w="5651" w:type="dxa"/>
          </w:tcPr>
          <w:p w:rsidR="00BA16AF" w:rsidRDefault="00BA16AF">
            <w:r>
              <w:t>Correspondant déchets GANIL</w:t>
            </w:r>
          </w:p>
        </w:tc>
      </w:tr>
      <w:tr w:rsidR="00BA16AF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BA16AF" w:rsidRDefault="00BA16AF">
            <w:r>
              <w:t>Prévention Info</w:t>
            </w:r>
          </w:p>
        </w:tc>
        <w:tc>
          <w:tcPr>
            <w:tcW w:w="1053" w:type="dxa"/>
          </w:tcPr>
          <w:p w:rsidR="00BA16AF" w:rsidRDefault="00BA16AF" w:rsidP="00DE1A35">
            <w:r>
              <w:t xml:space="preserve">FL / </w:t>
            </w:r>
            <w:proofErr w:type="spellStart"/>
            <w:r>
              <w:t>SG</w:t>
            </w:r>
            <w:r w:rsidR="00D07B4F">
              <w:t>i</w:t>
            </w:r>
            <w:proofErr w:type="spellEnd"/>
            <w:r>
              <w:t xml:space="preserve"> / </w:t>
            </w:r>
            <w:r w:rsidR="003942D1">
              <w:t>/ FD</w:t>
            </w:r>
          </w:p>
        </w:tc>
        <w:tc>
          <w:tcPr>
            <w:tcW w:w="5651" w:type="dxa"/>
          </w:tcPr>
          <w:p w:rsidR="00BA16AF" w:rsidRDefault="00BA16AF">
            <w:r>
              <w:t>Diffusion</w:t>
            </w:r>
            <w:r w:rsidR="008F5D01">
              <w:t xml:space="preserve"> dans le laboratoire</w:t>
            </w:r>
          </w:p>
        </w:tc>
      </w:tr>
      <w:tr w:rsidR="00E5540F" w:rsidTr="008A4ACF">
        <w:tc>
          <w:tcPr>
            <w:tcW w:w="2358" w:type="dxa"/>
            <w:gridSpan w:val="2"/>
            <w:shd w:val="clear" w:color="auto" w:fill="B8CCE4" w:themeFill="accent1" w:themeFillTint="66"/>
          </w:tcPr>
          <w:p w:rsidR="00E5540F" w:rsidRDefault="00E5540F" w:rsidP="008A4ACF">
            <w:r>
              <w:t>Accueil des nouveaux entrants</w:t>
            </w:r>
          </w:p>
        </w:tc>
        <w:tc>
          <w:tcPr>
            <w:tcW w:w="1053" w:type="dxa"/>
          </w:tcPr>
          <w:p w:rsidR="00E5540F" w:rsidRDefault="00E5540F" w:rsidP="008A4ACF">
            <w:r>
              <w:t>QL / FD</w:t>
            </w:r>
          </w:p>
        </w:tc>
        <w:tc>
          <w:tcPr>
            <w:tcW w:w="5651" w:type="dxa"/>
          </w:tcPr>
          <w:p w:rsidR="00E5540F" w:rsidRDefault="00E5540F" w:rsidP="008A4ACF">
            <w:r>
              <w:t>Formation sécurité</w:t>
            </w:r>
          </w:p>
          <w:p w:rsidR="00E5540F" w:rsidRDefault="00E5540F" w:rsidP="008A4ACF">
            <w:r>
              <w:t>Fiches de risques, formations à suivre, dosimétrie…</w:t>
            </w:r>
          </w:p>
        </w:tc>
      </w:tr>
      <w:tr w:rsidR="00BA16AF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BA16AF" w:rsidRDefault="00BA16AF">
            <w:r>
              <w:t xml:space="preserve">Formations sécurité gaz et </w:t>
            </w:r>
            <w:proofErr w:type="spellStart"/>
            <w:r>
              <w:t>cryo</w:t>
            </w:r>
            <w:proofErr w:type="spellEnd"/>
          </w:p>
        </w:tc>
        <w:tc>
          <w:tcPr>
            <w:tcW w:w="1053" w:type="dxa"/>
          </w:tcPr>
          <w:p w:rsidR="00BA16AF" w:rsidRDefault="00DE1A35" w:rsidP="00DE1A35">
            <w:r>
              <w:t xml:space="preserve">JMR / QL </w:t>
            </w:r>
            <w:r w:rsidR="003942D1">
              <w:t>/ FD</w:t>
            </w:r>
          </w:p>
        </w:tc>
        <w:tc>
          <w:tcPr>
            <w:tcW w:w="5651" w:type="dxa"/>
          </w:tcPr>
          <w:p w:rsidR="00BA16AF" w:rsidRDefault="008F5D01">
            <w:r>
              <w:t>Formation des nouveaux entrants concernés</w:t>
            </w:r>
          </w:p>
        </w:tc>
      </w:tr>
      <w:tr w:rsidR="00BA16AF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BA16AF" w:rsidRDefault="00BA16AF">
            <w:r>
              <w:t>DUERP</w:t>
            </w:r>
          </w:p>
        </w:tc>
        <w:tc>
          <w:tcPr>
            <w:tcW w:w="1053" w:type="dxa"/>
          </w:tcPr>
          <w:p w:rsidR="00BA16AF" w:rsidRDefault="00BA16AF">
            <w:r>
              <w:t>Tous</w:t>
            </w:r>
          </w:p>
        </w:tc>
        <w:tc>
          <w:tcPr>
            <w:tcW w:w="5651" w:type="dxa"/>
          </w:tcPr>
          <w:p w:rsidR="00BA16AF" w:rsidRDefault="00BA16AF" w:rsidP="00E45D98">
            <w:r>
              <w:t xml:space="preserve">Participation à </w:t>
            </w:r>
            <w:r w:rsidR="000C49B3">
              <w:t>la mise à jour</w:t>
            </w:r>
            <w:r w:rsidR="00E45D98">
              <w:t>, Suivi du plan d’action</w:t>
            </w:r>
          </w:p>
        </w:tc>
      </w:tr>
      <w:tr w:rsidR="00F05A94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F05A94" w:rsidRDefault="00F05A94">
            <w:r>
              <w:t>Étude</w:t>
            </w:r>
            <w:r w:rsidR="00702184">
              <w:t>s</w:t>
            </w:r>
            <w:r>
              <w:t xml:space="preserve"> de poste de sécurité (nouveaux projets, équipements, aménagement</w:t>
            </w:r>
          </w:p>
        </w:tc>
        <w:tc>
          <w:tcPr>
            <w:tcW w:w="1053" w:type="dxa"/>
          </w:tcPr>
          <w:p w:rsidR="00F05A94" w:rsidRDefault="00F05A94">
            <w:r>
              <w:t>Tous</w:t>
            </w:r>
          </w:p>
          <w:p w:rsidR="00F05A94" w:rsidRDefault="00F05A94">
            <w:proofErr w:type="spellStart"/>
            <w:r>
              <w:t>SG</w:t>
            </w:r>
            <w:r w:rsidR="00D07B4F">
              <w:t>i</w:t>
            </w:r>
            <w:proofErr w:type="spellEnd"/>
          </w:p>
        </w:tc>
        <w:tc>
          <w:tcPr>
            <w:tcW w:w="5651" w:type="dxa"/>
          </w:tcPr>
          <w:p w:rsidR="00F05A94" w:rsidRDefault="00F05A94" w:rsidP="000C49B3">
            <w:r>
              <w:t>Participation aux EP et relecture avant diffusion</w:t>
            </w:r>
          </w:p>
          <w:p w:rsidR="00F05A94" w:rsidRDefault="00F05A94" w:rsidP="000C49B3">
            <w:r>
              <w:t>S. Girard : Expertise sécurité laser – soutien technique</w:t>
            </w:r>
          </w:p>
          <w:p w:rsidR="00F05A94" w:rsidRDefault="00F05A94" w:rsidP="004C2F1A"/>
        </w:tc>
      </w:tr>
      <w:tr w:rsidR="002673D4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2673D4" w:rsidRDefault="002673D4">
            <w:r>
              <w:t>Réunion QSE CIMAP</w:t>
            </w:r>
          </w:p>
        </w:tc>
        <w:tc>
          <w:tcPr>
            <w:tcW w:w="1053" w:type="dxa"/>
          </w:tcPr>
          <w:p w:rsidR="002673D4" w:rsidRDefault="002673D4">
            <w:r>
              <w:t>Tous</w:t>
            </w:r>
          </w:p>
        </w:tc>
        <w:tc>
          <w:tcPr>
            <w:tcW w:w="5651" w:type="dxa"/>
          </w:tcPr>
          <w:p w:rsidR="002673D4" w:rsidRDefault="002673D4">
            <w:r>
              <w:t>Retours d’expériences des incidents ou difficultés rencontrées dans les services</w:t>
            </w:r>
          </w:p>
          <w:p w:rsidR="002673D4" w:rsidRDefault="002673D4">
            <w:r>
              <w:lastRenderedPageBreak/>
              <w:t>Conseil à la direction dans la définition et la mise en œuvre de la politique QSE</w:t>
            </w:r>
          </w:p>
          <w:p w:rsidR="002673D4" w:rsidRDefault="002673D4">
            <w:r>
              <w:t>Information des nouveaux projets dans les services</w:t>
            </w:r>
          </w:p>
        </w:tc>
      </w:tr>
      <w:tr w:rsidR="00BA16AF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BA16AF" w:rsidRDefault="00BA16AF">
            <w:r>
              <w:lastRenderedPageBreak/>
              <w:t>Réunion QSE</w:t>
            </w:r>
            <w:r w:rsidR="002673D4">
              <w:t xml:space="preserve"> hébergeur</w:t>
            </w:r>
          </w:p>
        </w:tc>
        <w:tc>
          <w:tcPr>
            <w:tcW w:w="1053" w:type="dxa"/>
          </w:tcPr>
          <w:p w:rsidR="00BA16AF" w:rsidRDefault="00D07B4F" w:rsidP="00E45D98">
            <w:r>
              <w:t>QL /</w:t>
            </w:r>
            <w:r w:rsidR="000C49B3">
              <w:t xml:space="preserve">FL / </w:t>
            </w:r>
            <w:r w:rsidR="00E45D98">
              <w:t>FD</w:t>
            </w:r>
            <w:r w:rsidR="000C49B3">
              <w:t xml:space="preserve"> / JMR</w:t>
            </w:r>
          </w:p>
        </w:tc>
        <w:tc>
          <w:tcPr>
            <w:tcW w:w="5651" w:type="dxa"/>
          </w:tcPr>
          <w:p w:rsidR="00BA16AF" w:rsidRDefault="00BA16AF">
            <w:r>
              <w:t>Participation QSE avec les hébergeurs</w:t>
            </w:r>
          </w:p>
        </w:tc>
      </w:tr>
      <w:tr w:rsidR="00BA16AF" w:rsidTr="00F05A94">
        <w:tc>
          <w:tcPr>
            <w:tcW w:w="2358" w:type="dxa"/>
            <w:gridSpan w:val="2"/>
            <w:shd w:val="clear" w:color="auto" w:fill="B8CCE4" w:themeFill="accent1" w:themeFillTint="66"/>
          </w:tcPr>
          <w:p w:rsidR="00BA16AF" w:rsidRDefault="00BA16AF">
            <w:r>
              <w:t>Qualité</w:t>
            </w:r>
          </w:p>
        </w:tc>
        <w:tc>
          <w:tcPr>
            <w:tcW w:w="1053" w:type="dxa"/>
          </w:tcPr>
          <w:p w:rsidR="00BA16AF" w:rsidRDefault="00BA16AF" w:rsidP="001C0EE9">
            <w:r>
              <w:t xml:space="preserve">IM </w:t>
            </w:r>
            <w:r w:rsidR="001C0EE9">
              <w:t xml:space="preserve">/ </w:t>
            </w:r>
            <w:r w:rsidR="000C49B3">
              <w:t>QL</w:t>
            </w:r>
          </w:p>
        </w:tc>
        <w:tc>
          <w:tcPr>
            <w:tcW w:w="5651" w:type="dxa"/>
          </w:tcPr>
          <w:p w:rsidR="00BA16AF" w:rsidRDefault="00333F99">
            <w:r>
              <w:t xml:space="preserve">Rédaction, enregistrement et diffusion </w:t>
            </w:r>
            <w:r w:rsidR="00BA16AF">
              <w:t>des procédures générales</w:t>
            </w:r>
          </w:p>
        </w:tc>
      </w:tr>
    </w:tbl>
    <w:p w:rsidR="00E01384" w:rsidRDefault="00E01384"/>
    <w:p w:rsidR="0059355D" w:rsidRPr="0059355D" w:rsidRDefault="0059355D" w:rsidP="0059355D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Times New Roman"/>
          <w:b/>
          <w:noProof/>
          <w:szCs w:val="20"/>
        </w:rPr>
      </w:pPr>
      <w:r w:rsidRPr="0059355D">
        <w:rPr>
          <w:rFonts w:ascii="Arial" w:eastAsia="Times New Roman" w:hAnsi="Arial" w:cs="Times New Roman"/>
          <w:b/>
          <w:noProof/>
          <w:szCs w:val="20"/>
        </w:rPr>
        <w:t>Personnes compétentes dans un domaine de gestion du risque</w:t>
      </w:r>
    </w:p>
    <w:p w:rsidR="0059355D" w:rsidRDefault="0059355D" w:rsidP="0059355D">
      <w:pPr>
        <w:spacing w:before="120"/>
        <w:rPr>
          <w:rFonts w:ascii="Arial" w:eastAsia="Times New Roman" w:hAnsi="Arial" w:cs="Times New Roman"/>
          <w:noProof/>
          <w:szCs w:val="20"/>
        </w:rPr>
      </w:pPr>
    </w:p>
    <w:p w:rsidR="0059355D" w:rsidRPr="0059355D" w:rsidRDefault="0059355D" w:rsidP="0059355D">
      <w:pPr>
        <w:pStyle w:val="Paragraphedeliste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 xml:space="preserve">Personne compétente en radioprotection : </w:t>
      </w:r>
    </w:p>
    <w:p w:rsidR="0059355D" w:rsidRPr="0059355D" w:rsidRDefault="0059355D" w:rsidP="0059355D">
      <w:p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>Quentin Legrand – CIMAP/GANIL 4509 – CIMAP/ENSI 2574</w:t>
      </w:r>
    </w:p>
    <w:p w:rsidR="0059355D" w:rsidRPr="0059355D" w:rsidRDefault="0059355D" w:rsidP="0059355D">
      <w:pPr>
        <w:pStyle w:val="Paragraphedeliste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>Référent sécurité LASER</w:t>
      </w:r>
    </w:p>
    <w:p w:rsidR="0059355D" w:rsidRPr="0059355D" w:rsidRDefault="0059355D" w:rsidP="0059355D">
      <w:p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>Quentin Legrand – CIMAP/GANIL 4509 – CIMAP/ENSI 2574</w:t>
      </w:r>
    </w:p>
    <w:p w:rsidR="0059355D" w:rsidRPr="0059355D" w:rsidRDefault="0059355D" w:rsidP="0059355D">
      <w:pPr>
        <w:pStyle w:val="Paragraphedeliste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>Resp</w:t>
      </w:r>
      <w:r w:rsidR="004C2F1A">
        <w:rPr>
          <w:rFonts w:ascii="Arial" w:eastAsia="Times New Roman" w:hAnsi="Arial" w:cs="Times New Roman"/>
          <w:noProof/>
          <w:szCs w:val="20"/>
        </w:rPr>
        <w:t xml:space="preserve">onsable de locaux confinés (L2 </w:t>
      </w:r>
      <w:r w:rsidRPr="0059355D">
        <w:rPr>
          <w:rFonts w:ascii="Arial" w:eastAsia="Times New Roman" w:hAnsi="Arial" w:cs="Times New Roman"/>
          <w:noProof/>
          <w:szCs w:val="20"/>
        </w:rPr>
        <w:t xml:space="preserve">ARIA) : </w:t>
      </w:r>
    </w:p>
    <w:p w:rsidR="0059355D" w:rsidRPr="0059355D" w:rsidRDefault="0059355D" w:rsidP="0059355D">
      <w:p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>François Chevalier – CIMAP/GANIL 4564</w:t>
      </w:r>
    </w:p>
    <w:p w:rsidR="0059355D" w:rsidRPr="0059355D" w:rsidRDefault="0059355D" w:rsidP="0059355D">
      <w:pPr>
        <w:pStyle w:val="Paragraphedeliste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 xml:space="preserve">Responsables d’atelier : </w:t>
      </w:r>
    </w:p>
    <w:p w:rsidR="0059355D" w:rsidRPr="0059355D" w:rsidRDefault="0059355D" w:rsidP="0059355D">
      <w:p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>Philippe Leprince – CIMAP/ENSI 2593</w:t>
      </w:r>
    </w:p>
    <w:p w:rsidR="0059355D" w:rsidRPr="0059355D" w:rsidRDefault="0059355D" w:rsidP="0059355D">
      <w:p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>Jean-Marc Ramillon – CIMAP/GANIL 4705</w:t>
      </w:r>
    </w:p>
    <w:p w:rsidR="0059355D" w:rsidRPr="0059355D" w:rsidRDefault="0059355D" w:rsidP="0059355D">
      <w:pPr>
        <w:pStyle w:val="Paragraphedeliste"/>
        <w:numPr>
          <w:ilvl w:val="1"/>
          <w:numId w:val="1"/>
        </w:num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>Correspondants pour la gestion de déchets sur le site GANIL</w:t>
      </w:r>
    </w:p>
    <w:p w:rsidR="0059355D" w:rsidRPr="0059355D" w:rsidRDefault="0059355D" w:rsidP="0059355D">
      <w:pPr>
        <w:spacing w:before="120" w:after="0" w:line="240" w:lineRule="auto"/>
        <w:rPr>
          <w:rFonts w:ascii="Arial" w:eastAsia="Times New Roman" w:hAnsi="Arial" w:cs="Times New Roman"/>
          <w:noProof/>
          <w:szCs w:val="20"/>
        </w:rPr>
      </w:pPr>
      <w:r w:rsidRPr="0059355D">
        <w:rPr>
          <w:rFonts w:ascii="Arial" w:eastAsia="Times New Roman" w:hAnsi="Arial" w:cs="Times New Roman"/>
          <w:noProof/>
          <w:szCs w:val="20"/>
        </w:rPr>
        <w:t>Franck Dardy – CIMAP/GANIL 4753</w:t>
      </w:r>
    </w:p>
    <w:sectPr w:rsidR="0059355D" w:rsidRPr="0059355D" w:rsidSect="00313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B3" w:rsidRDefault="000C49B3" w:rsidP="000C49B3">
      <w:pPr>
        <w:spacing w:after="0" w:line="240" w:lineRule="auto"/>
      </w:pPr>
      <w:r>
        <w:separator/>
      </w:r>
    </w:p>
  </w:endnote>
  <w:endnote w:type="continuationSeparator" w:id="0">
    <w:p w:rsidR="000C49B3" w:rsidRDefault="000C49B3" w:rsidP="000C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B3" w:rsidRDefault="000C49B3" w:rsidP="000C49B3">
      <w:pPr>
        <w:spacing w:after="0" w:line="240" w:lineRule="auto"/>
      </w:pPr>
      <w:r>
        <w:separator/>
      </w:r>
    </w:p>
  </w:footnote>
  <w:footnote w:type="continuationSeparator" w:id="0">
    <w:p w:rsidR="000C49B3" w:rsidRDefault="000C49B3" w:rsidP="000C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09"/>
      <w:gridCol w:w="5571"/>
      <w:gridCol w:w="2479"/>
    </w:tblGrid>
    <w:tr w:rsidR="000C49B3" w:rsidRPr="000C49B3" w:rsidTr="00A70AE1">
      <w:trPr>
        <w:trHeight w:val="556"/>
        <w:jc w:val="center"/>
      </w:trPr>
      <w:tc>
        <w:tcPr>
          <w:tcW w:w="2509" w:type="dxa"/>
          <w:vMerge w:val="restart"/>
          <w:shd w:val="clear" w:color="auto" w:fill="auto"/>
        </w:tcPr>
        <w:p w:rsidR="000C49B3" w:rsidRPr="000C49B3" w:rsidRDefault="000C49B3" w:rsidP="000C49B3">
          <w:pPr>
            <w:suppressAutoHyphens/>
            <w:spacing w:after="0" w:line="1" w:lineRule="atLeast"/>
            <w:ind w:leftChars="-1" w:hangingChars="1" w:hanging="2"/>
            <w:textDirection w:val="btLr"/>
            <w:textAlignment w:val="top"/>
            <w:outlineLvl w:val="0"/>
            <w:rPr>
              <w:rFonts w:ascii="Cambria" w:eastAsia="Cambria" w:hAnsi="Cambria" w:cs="Cambria"/>
              <w:position w:val="-1"/>
              <w:sz w:val="24"/>
              <w:szCs w:val="24"/>
            </w:rPr>
          </w:pPr>
          <w:r w:rsidRPr="000C49B3">
            <w:rPr>
              <w:rFonts w:ascii="Cambria" w:eastAsia="Cambria" w:hAnsi="Cambria" w:cs="Cambria"/>
              <w:noProof/>
              <w:position w:val="-1"/>
              <w:sz w:val="24"/>
              <w:szCs w:val="24"/>
              <w:lang w:eastAsia="fr-FR"/>
            </w:rPr>
            <w:drawing>
              <wp:inline distT="0" distB="0" distL="114300" distR="114300" wp14:anchorId="7E3E12D6" wp14:editId="2E659F18">
                <wp:extent cx="1391285" cy="537845"/>
                <wp:effectExtent l="0" t="0" r="0" b="0"/>
                <wp:docPr id="1026" name="image1.jpg" descr="lettre ha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ettre hau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285" cy="537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1" w:type="dxa"/>
          <w:vMerge w:val="restart"/>
          <w:shd w:val="clear" w:color="auto" w:fill="auto"/>
        </w:tcPr>
        <w:p w:rsidR="000C49B3" w:rsidRPr="000C49B3" w:rsidRDefault="000C49B3" w:rsidP="000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 Narrow" w:eastAsia="Arial Narrow" w:hAnsi="Arial Narrow" w:cs="Arial Narrow"/>
              <w:color w:val="000000"/>
              <w:position w:val="-1"/>
              <w:sz w:val="32"/>
              <w:szCs w:val="32"/>
            </w:rPr>
          </w:pPr>
          <w:r w:rsidRPr="000C49B3">
            <w:rPr>
              <w:rFonts w:ascii="Arial Narrow" w:eastAsia="Arial Narrow" w:hAnsi="Arial Narrow" w:cs="Arial Narrow"/>
              <w:color w:val="000000"/>
              <w:position w:val="-1"/>
              <w:sz w:val="24"/>
              <w:szCs w:val="24"/>
            </w:rPr>
            <w:br/>
          </w:r>
          <w:r>
            <w:rPr>
              <w:rFonts w:ascii="Arial Narrow" w:eastAsia="Arial Narrow" w:hAnsi="Arial Narrow" w:cs="Arial Narrow"/>
              <w:b/>
              <w:color w:val="000000"/>
              <w:position w:val="-1"/>
              <w:sz w:val="32"/>
              <w:szCs w:val="32"/>
            </w:rPr>
            <w:t>Organisation de la cellule QSE</w:t>
          </w:r>
        </w:p>
      </w:tc>
      <w:tc>
        <w:tcPr>
          <w:tcW w:w="2479" w:type="dxa"/>
          <w:shd w:val="clear" w:color="auto" w:fill="F3F3F3"/>
          <w:vAlign w:val="center"/>
        </w:tcPr>
        <w:p w:rsidR="000C49B3" w:rsidRPr="000C49B3" w:rsidRDefault="000C49B3" w:rsidP="000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uppressAutoHyphens/>
            <w:spacing w:after="0" w:line="240" w:lineRule="auto"/>
            <w:ind w:leftChars="-1" w:left="1" w:hangingChars="1" w:hanging="3"/>
            <w:jc w:val="center"/>
            <w:textDirection w:val="btLr"/>
            <w:textAlignment w:val="top"/>
            <w:outlineLvl w:val="0"/>
            <w:rPr>
              <w:rFonts w:ascii="Arial Narrow" w:eastAsia="Arial Narrow" w:hAnsi="Arial Narrow" w:cs="Arial Narrow"/>
              <w:color w:val="000000"/>
              <w:position w:val="-1"/>
              <w:sz w:val="32"/>
              <w:szCs w:val="32"/>
            </w:rPr>
          </w:pPr>
          <w:r w:rsidRPr="000C49B3">
            <w:rPr>
              <w:rFonts w:ascii="Arial Narrow" w:eastAsia="Arial Narrow" w:hAnsi="Arial Narrow" w:cs="Arial Narrow"/>
              <w:b/>
              <w:color w:val="000000"/>
              <w:position w:val="-1"/>
              <w:sz w:val="32"/>
              <w:szCs w:val="32"/>
            </w:rPr>
            <w:t>FORMULAIRE</w:t>
          </w:r>
        </w:p>
      </w:tc>
    </w:tr>
    <w:tr w:rsidR="000C49B3" w:rsidRPr="000C49B3" w:rsidTr="00A70AE1">
      <w:trPr>
        <w:trHeight w:val="500"/>
        <w:jc w:val="center"/>
      </w:trPr>
      <w:tc>
        <w:tcPr>
          <w:tcW w:w="2509" w:type="dxa"/>
          <w:vMerge/>
          <w:shd w:val="clear" w:color="auto" w:fill="auto"/>
        </w:tcPr>
        <w:p w:rsidR="000C49B3" w:rsidRPr="000C49B3" w:rsidRDefault="000C49B3" w:rsidP="000C49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spacing w:after="0"/>
            <w:ind w:leftChars="-1" w:left="1" w:hangingChars="1" w:hanging="3"/>
            <w:textDirection w:val="btLr"/>
            <w:textAlignment w:val="top"/>
            <w:outlineLvl w:val="0"/>
            <w:rPr>
              <w:rFonts w:ascii="Arial Narrow" w:eastAsia="Arial Narrow" w:hAnsi="Arial Narrow" w:cs="Arial Narrow"/>
              <w:color w:val="000000"/>
              <w:position w:val="-1"/>
              <w:sz w:val="32"/>
              <w:szCs w:val="32"/>
            </w:rPr>
          </w:pPr>
        </w:p>
      </w:tc>
      <w:tc>
        <w:tcPr>
          <w:tcW w:w="5571" w:type="dxa"/>
          <w:vMerge/>
          <w:shd w:val="clear" w:color="auto" w:fill="auto"/>
        </w:tcPr>
        <w:p w:rsidR="000C49B3" w:rsidRPr="000C49B3" w:rsidRDefault="000C49B3" w:rsidP="000C49B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uppressAutoHyphens/>
            <w:spacing w:after="0"/>
            <w:ind w:leftChars="-1" w:left="1" w:hangingChars="1" w:hanging="3"/>
            <w:textDirection w:val="btLr"/>
            <w:textAlignment w:val="top"/>
            <w:outlineLvl w:val="0"/>
            <w:rPr>
              <w:rFonts w:ascii="Arial Narrow" w:eastAsia="Arial Narrow" w:hAnsi="Arial Narrow" w:cs="Arial Narrow"/>
              <w:color w:val="000000"/>
              <w:position w:val="-1"/>
              <w:sz w:val="32"/>
              <w:szCs w:val="32"/>
            </w:rPr>
          </w:pPr>
        </w:p>
      </w:tc>
      <w:tc>
        <w:tcPr>
          <w:tcW w:w="2479" w:type="dxa"/>
          <w:vAlign w:val="center"/>
        </w:tcPr>
        <w:p w:rsidR="000C49B3" w:rsidRPr="000C49B3" w:rsidRDefault="000C49B3" w:rsidP="000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 Narrow" w:eastAsia="Arial Narrow" w:hAnsi="Arial Narrow" w:cs="Arial Narrow"/>
              <w:color w:val="000000"/>
              <w:position w:val="-1"/>
            </w:rPr>
          </w:pPr>
          <w:r w:rsidRPr="000C49B3">
            <w:rPr>
              <w:rFonts w:ascii="Arial Narrow" w:eastAsia="Arial Narrow" w:hAnsi="Arial Narrow" w:cs="Arial Narrow"/>
              <w:color w:val="000000"/>
              <w:position w:val="-1"/>
            </w:rPr>
            <w:t xml:space="preserve">Issue </w:t>
          </w:r>
          <w:r>
            <w:rPr>
              <w:rFonts w:ascii="Arial Narrow" w:eastAsia="Arial Narrow" w:hAnsi="Arial Narrow" w:cs="Arial Narrow"/>
              <w:color w:val="000000"/>
              <w:position w:val="-1"/>
            </w:rPr>
            <w:t>du processus</w:t>
          </w:r>
          <w:r w:rsidRPr="000C49B3">
            <w:rPr>
              <w:rFonts w:ascii="Arial Narrow" w:eastAsia="Arial Narrow" w:hAnsi="Arial Narrow" w:cs="Arial Narrow"/>
              <w:color w:val="000000"/>
              <w:position w:val="-1"/>
            </w:rPr>
            <w:t xml:space="preserve"> QSE</w:t>
          </w:r>
        </w:p>
      </w:tc>
    </w:tr>
    <w:tr w:rsidR="000C49B3" w:rsidRPr="000C49B3" w:rsidTr="00A70AE1">
      <w:trPr>
        <w:jc w:val="center"/>
      </w:trPr>
      <w:tc>
        <w:tcPr>
          <w:tcW w:w="2509" w:type="dxa"/>
          <w:vAlign w:val="center"/>
        </w:tcPr>
        <w:p w:rsidR="000C49B3" w:rsidRPr="000C49B3" w:rsidRDefault="000C49B3" w:rsidP="000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uppressAutoHyphens/>
            <w:spacing w:after="0" w:line="240" w:lineRule="auto"/>
            <w:ind w:leftChars="-1" w:hangingChars="1" w:hanging="2"/>
            <w:jc w:val="center"/>
            <w:textDirection w:val="btLr"/>
            <w:textAlignment w:val="top"/>
            <w:outlineLvl w:val="0"/>
            <w:rPr>
              <w:rFonts w:ascii="Arial Narrow" w:eastAsia="Arial Narrow" w:hAnsi="Arial Narrow" w:cs="Arial Narrow"/>
              <w:color w:val="000000"/>
              <w:position w:val="-1"/>
            </w:rPr>
          </w:pPr>
          <w:r>
            <w:rPr>
              <w:rFonts w:ascii="Arial Narrow" w:eastAsia="Arial Narrow" w:hAnsi="Arial Narrow" w:cs="Arial Narrow"/>
              <w:color w:val="000000"/>
              <w:position w:val="-1"/>
            </w:rPr>
            <w:t>Réf. CIMAP-FORM-QSE-38</w:t>
          </w:r>
        </w:p>
      </w:tc>
      <w:tc>
        <w:tcPr>
          <w:tcW w:w="5571" w:type="dxa"/>
        </w:tcPr>
        <w:p w:rsidR="000C49B3" w:rsidRPr="000C49B3" w:rsidRDefault="000C49B3" w:rsidP="000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uppressAutoHyphens/>
            <w:spacing w:after="0" w:line="240" w:lineRule="auto"/>
            <w:ind w:leftChars="-1" w:left="1" w:hangingChars="1" w:hanging="3"/>
            <w:jc w:val="center"/>
            <w:textDirection w:val="btLr"/>
            <w:textAlignment w:val="top"/>
            <w:outlineLvl w:val="0"/>
            <w:rPr>
              <w:rFonts w:ascii="Arial Narrow" w:eastAsia="Arial Narrow" w:hAnsi="Arial Narrow" w:cs="Arial Narrow"/>
              <w:color w:val="000000"/>
              <w:position w:val="-1"/>
              <w:sz w:val="32"/>
              <w:szCs w:val="32"/>
            </w:rPr>
          </w:pPr>
          <w:r w:rsidRPr="000C49B3">
            <w:rPr>
              <w:rFonts w:ascii="Arial" w:eastAsia="Arial" w:hAnsi="Arial" w:cs="Arial"/>
              <w:b/>
              <w:color w:val="000000"/>
              <w:position w:val="-1"/>
              <w:sz w:val="28"/>
              <w:szCs w:val="28"/>
            </w:rPr>
            <w:t>QSE</w:t>
          </w:r>
          <w:r w:rsidRPr="000C49B3">
            <w:rPr>
              <w:rFonts w:ascii="Arial Narrow" w:eastAsia="Arial Narrow" w:hAnsi="Arial Narrow" w:cs="Arial Narrow"/>
              <w:b/>
              <w:color w:val="000000"/>
              <w:position w:val="-1"/>
              <w:sz w:val="32"/>
              <w:szCs w:val="32"/>
            </w:rPr>
            <w:t xml:space="preserve"> </w:t>
          </w:r>
        </w:p>
      </w:tc>
      <w:tc>
        <w:tcPr>
          <w:tcW w:w="2479" w:type="dxa"/>
          <w:vAlign w:val="center"/>
        </w:tcPr>
        <w:p w:rsidR="000C49B3" w:rsidRPr="000C49B3" w:rsidRDefault="000C49B3" w:rsidP="000C49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uppressAutoHyphens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 Narrow" w:eastAsia="Arial Narrow" w:hAnsi="Arial Narrow" w:cs="Arial Narrow"/>
              <w:color w:val="000000"/>
              <w:position w:val="-1"/>
            </w:rPr>
          </w:pPr>
          <w:r>
            <w:rPr>
              <w:rFonts w:ascii="Arial Narrow" w:eastAsia="Arial Narrow" w:hAnsi="Arial Narrow" w:cs="Arial Narrow"/>
              <w:color w:val="000000"/>
              <w:position w:val="-1"/>
            </w:rPr>
            <w:t xml:space="preserve">Création : </w:t>
          </w:r>
          <w:proofErr w:type="spellStart"/>
          <w:r>
            <w:rPr>
              <w:rFonts w:ascii="Arial Narrow" w:eastAsia="Arial Narrow" w:hAnsi="Arial Narrow" w:cs="Arial Narrow"/>
              <w:color w:val="000000"/>
              <w:position w:val="-1"/>
            </w:rPr>
            <w:t>janv</w:t>
          </w:r>
          <w:proofErr w:type="spellEnd"/>
          <w:r>
            <w:rPr>
              <w:rFonts w:ascii="Arial Narrow" w:eastAsia="Arial Narrow" w:hAnsi="Arial Narrow" w:cs="Arial Narrow"/>
              <w:color w:val="000000"/>
              <w:position w:val="-1"/>
            </w:rPr>
            <w:t xml:space="preserve"> 2008</w:t>
          </w:r>
        </w:p>
        <w:p w:rsidR="000C49B3" w:rsidRPr="000C49B3" w:rsidRDefault="003706BC" w:rsidP="001C0E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uppressAutoHyphens/>
            <w:spacing w:after="0" w:line="240" w:lineRule="auto"/>
            <w:ind w:leftChars="-1" w:hangingChars="1" w:hanging="2"/>
            <w:textDirection w:val="btLr"/>
            <w:textAlignment w:val="top"/>
            <w:outlineLvl w:val="0"/>
            <w:rPr>
              <w:rFonts w:ascii="Arial Narrow" w:eastAsia="Arial Narrow" w:hAnsi="Arial Narrow" w:cs="Arial Narrow"/>
              <w:color w:val="000000"/>
              <w:position w:val="-1"/>
            </w:rPr>
          </w:pPr>
          <w:r>
            <w:rPr>
              <w:rFonts w:ascii="Arial Narrow" w:eastAsia="Arial Narrow" w:hAnsi="Arial Narrow" w:cs="Arial Narrow"/>
              <w:color w:val="000000"/>
              <w:position w:val="-1"/>
            </w:rPr>
            <w:t>Version 4</w:t>
          </w:r>
          <w:r w:rsidR="001C0EE9">
            <w:rPr>
              <w:rFonts w:ascii="Arial Narrow" w:eastAsia="Arial Narrow" w:hAnsi="Arial Narrow" w:cs="Arial Narrow"/>
              <w:color w:val="000000"/>
              <w:position w:val="-1"/>
            </w:rPr>
            <w:t>.1</w:t>
          </w:r>
          <w:r w:rsidR="000C49B3">
            <w:rPr>
              <w:rFonts w:ascii="Arial Narrow" w:eastAsia="Arial Narrow" w:hAnsi="Arial Narrow" w:cs="Arial Narrow"/>
              <w:color w:val="000000"/>
              <w:position w:val="-1"/>
            </w:rPr>
            <w:t xml:space="preserve"> de </w:t>
          </w:r>
          <w:r w:rsidR="001C0EE9">
            <w:rPr>
              <w:rFonts w:ascii="Arial Narrow" w:eastAsia="Arial Narrow" w:hAnsi="Arial Narrow" w:cs="Arial Narrow"/>
              <w:color w:val="000000"/>
              <w:position w:val="-1"/>
            </w:rPr>
            <w:t>Avril 2022</w:t>
          </w:r>
        </w:p>
      </w:tc>
    </w:tr>
  </w:tbl>
  <w:p w:rsidR="000C49B3" w:rsidRPr="000C49B3" w:rsidRDefault="000C49B3" w:rsidP="000C49B3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6216"/>
    <w:multiLevelType w:val="hybridMultilevel"/>
    <w:tmpl w:val="6590AB56"/>
    <w:lvl w:ilvl="0" w:tplc="E03CF432">
      <w:start w:val="1"/>
      <w:numFmt w:val="decimal"/>
      <w:lvlText w:val="%1-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5FEEB6E2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2" w:tplc="5FEEB6E2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9D"/>
    <w:rsid w:val="0004371B"/>
    <w:rsid w:val="000C49B3"/>
    <w:rsid w:val="00166035"/>
    <w:rsid w:val="001C0EE9"/>
    <w:rsid w:val="002673D4"/>
    <w:rsid w:val="002F75FB"/>
    <w:rsid w:val="00313924"/>
    <w:rsid w:val="003231DD"/>
    <w:rsid w:val="00333F99"/>
    <w:rsid w:val="00353958"/>
    <w:rsid w:val="003706BC"/>
    <w:rsid w:val="003942D1"/>
    <w:rsid w:val="004C2F1A"/>
    <w:rsid w:val="0059355D"/>
    <w:rsid w:val="00611290"/>
    <w:rsid w:val="00613F9E"/>
    <w:rsid w:val="006378CC"/>
    <w:rsid w:val="006619D2"/>
    <w:rsid w:val="00677A8B"/>
    <w:rsid w:val="006B5F99"/>
    <w:rsid w:val="006D3E3A"/>
    <w:rsid w:val="006F49AC"/>
    <w:rsid w:val="00702184"/>
    <w:rsid w:val="007C3CB4"/>
    <w:rsid w:val="0087279F"/>
    <w:rsid w:val="0089229D"/>
    <w:rsid w:val="008B5A09"/>
    <w:rsid w:val="008F5D01"/>
    <w:rsid w:val="00995CFA"/>
    <w:rsid w:val="00A04741"/>
    <w:rsid w:val="00A453F3"/>
    <w:rsid w:val="00A750C8"/>
    <w:rsid w:val="00AD20E3"/>
    <w:rsid w:val="00B6432A"/>
    <w:rsid w:val="00BA16AF"/>
    <w:rsid w:val="00C11831"/>
    <w:rsid w:val="00C679EB"/>
    <w:rsid w:val="00C863D0"/>
    <w:rsid w:val="00CB05E2"/>
    <w:rsid w:val="00D07B4F"/>
    <w:rsid w:val="00DA3A1D"/>
    <w:rsid w:val="00DC4431"/>
    <w:rsid w:val="00DE1A35"/>
    <w:rsid w:val="00E01384"/>
    <w:rsid w:val="00E45D98"/>
    <w:rsid w:val="00E5540F"/>
    <w:rsid w:val="00EC6060"/>
    <w:rsid w:val="00EE502F"/>
    <w:rsid w:val="00F0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CDEB"/>
  <w15:docId w15:val="{DB1F7A0B-E92A-43F0-9101-CA5F931E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C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9B3"/>
  </w:style>
  <w:style w:type="paragraph" w:styleId="Pieddepage">
    <w:name w:val="footer"/>
    <w:basedOn w:val="Normal"/>
    <w:link w:val="PieddepageCar"/>
    <w:uiPriority w:val="99"/>
    <w:unhideWhenUsed/>
    <w:rsid w:val="000C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9B3"/>
  </w:style>
  <w:style w:type="paragraph" w:styleId="Paragraphedeliste">
    <w:name w:val="List Paragraph"/>
    <w:basedOn w:val="Normal"/>
    <w:uiPriority w:val="34"/>
    <w:qFormat/>
    <w:rsid w:val="0037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8F47-BC9E-401F-A1AF-C78879C4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</dc:creator>
  <cp:lastModifiedBy>LEGRAND</cp:lastModifiedBy>
  <cp:revision>2</cp:revision>
  <cp:lastPrinted>2021-05-20T12:41:00Z</cp:lastPrinted>
  <dcterms:created xsi:type="dcterms:W3CDTF">2022-04-07T11:55:00Z</dcterms:created>
  <dcterms:modified xsi:type="dcterms:W3CDTF">2022-04-07T11:55:00Z</dcterms:modified>
</cp:coreProperties>
</file>