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9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509"/>
        <w:gridCol w:w="5571"/>
        <w:gridCol w:w="2479"/>
      </w:tblGrid>
      <w:tr w:rsidR="00A94B6B" w:rsidRPr="00C264C4" w:rsidTr="00F97CA7">
        <w:trPr>
          <w:trHeight w:val="556"/>
          <w:jc w:val="center"/>
        </w:trPr>
        <w:tc>
          <w:tcPr>
            <w:tcW w:w="2509" w:type="dxa"/>
            <w:vMerge w:val="restart"/>
          </w:tcPr>
          <w:p w:rsidR="00A94B6B" w:rsidRPr="00534EC6" w:rsidRDefault="00A94B6B" w:rsidP="00F97CA7">
            <w:r w:rsidRPr="00051536">
              <w:rPr>
                <w:noProof/>
              </w:rPr>
              <w:drawing>
                <wp:inline distT="0" distB="0" distL="0" distR="0">
                  <wp:extent cx="1391285" cy="538480"/>
                  <wp:effectExtent l="19050" t="0" r="0" b="0"/>
                  <wp:docPr id="1" name="Image 1" descr="lettre h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re h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1" w:type="dxa"/>
            <w:vMerge w:val="restart"/>
          </w:tcPr>
          <w:p w:rsidR="00A94B6B" w:rsidRPr="00534EC6" w:rsidRDefault="00A94B6B" w:rsidP="00F97CA7">
            <w:pPr>
              <w:pStyle w:val="En-tte"/>
              <w:jc w:val="center"/>
              <w:rPr>
                <w:rFonts w:ascii="Arial Narrow" w:hAnsi="Arial Narrow"/>
                <w:b/>
                <w:sz w:val="32"/>
              </w:rPr>
            </w:pPr>
            <w:r w:rsidRPr="00C264C4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b/>
                <w:sz w:val="32"/>
              </w:rPr>
              <w:t>Cellule QSE</w:t>
            </w:r>
          </w:p>
        </w:tc>
        <w:tc>
          <w:tcPr>
            <w:tcW w:w="2479" w:type="dxa"/>
            <w:shd w:val="clear" w:color="auto" w:fill="F3F3F3"/>
            <w:vAlign w:val="center"/>
          </w:tcPr>
          <w:p w:rsidR="00A94B6B" w:rsidRPr="00534EC6" w:rsidRDefault="00A94B6B" w:rsidP="00F97CA7">
            <w:pPr>
              <w:pStyle w:val="En-tte"/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outline/>
                <w:sz w:val="32"/>
              </w:rPr>
              <w:t>INSTRUCTION</w:t>
            </w:r>
          </w:p>
        </w:tc>
      </w:tr>
      <w:tr w:rsidR="00A94B6B" w:rsidRPr="00C264C4" w:rsidTr="00F97CA7">
        <w:trPr>
          <w:trHeight w:val="500"/>
          <w:jc w:val="center"/>
        </w:trPr>
        <w:tc>
          <w:tcPr>
            <w:tcW w:w="2509" w:type="dxa"/>
            <w:vMerge/>
            <w:vAlign w:val="center"/>
          </w:tcPr>
          <w:p w:rsidR="00A94B6B" w:rsidRPr="006B583B" w:rsidRDefault="00A94B6B" w:rsidP="00F97CA7">
            <w:pPr>
              <w:pStyle w:val="En-tte"/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5571" w:type="dxa"/>
            <w:vMerge/>
          </w:tcPr>
          <w:p w:rsidR="00A94B6B" w:rsidRPr="00C264C4" w:rsidRDefault="00A94B6B" w:rsidP="00F97CA7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  <w:tc>
          <w:tcPr>
            <w:tcW w:w="2479" w:type="dxa"/>
            <w:vAlign w:val="center"/>
          </w:tcPr>
          <w:p w:rsidR="00A94B6B" w:rsidRDefault="007C6E48" w:rsidP="00F97CA7">
            <w:pPr>
              <w:pStyle w:val="En-tte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Issue de la procédure Q</w:t>
            </w:r>
            <w:r w:rsidR="00A94B6B">
              <w:rPr>
                <w:rFonts w:ascii="Arial Narrow" w:hAnsi="Arial Narrow"/>
                <w:sz w:val="22"/>
              </w:rPr>
              <w:t>SE</w:t>
            </w:r>
          </w:p>
          <w:p w:rsidR="00A94B6B" w:rsidRPr="007D6AF9" w:rsidRDefault="00A94B6B" w:rsidP="00F97CA7">
            <w:pPr>
              <w:pStyle w:val="En-tte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94B6B" w:rsidRPr="00C264C4" w:rsidTr="00F97CA7">
        <w:trPr>
          <w:jc w:val="center"/>
        </w:trPr>
        <w:tc>
          <w:tcPr>
            <w:tcW w:w="2509" w:type="dxa"/>
            <w:vAlign w:val="center"/>
          </w:tcPr>
          <w:p w:rsidR="00A94B6B" w:rsidRPr="00051536" w:rsidRDefault="00A94B6B" w:rsidP="00F97CA7">
            <w:pPr>
              <w:pStyle w:val="En-tte"/>
              <w:jc w:val="center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 w:rsidRPr="00253ABD">
              <w:rPr>
                <w:rFonts w:ascii="Arial Narrow" w:hAnsi="Arial Narrow"/>
                <w:sz w:val="22"/>
                <w:lang w:val="en-GB"/>
              </w:rPr>
              <w:t>Réf</w:t>
            </w:r>
            <w:proofErr w:type="spellEnd"/>
            <w:r w:rsidRPr="00253ABD">
              <w:rPr>
                <w:rFonts w:ascii="Arial Narrow" w:hAnsi="Arial Narrow"/>
                <w:sz w:val="22"/>
                <w:lang w:val="en-GB"/>
              </w:rPr>
              <w:t xml:space="preserve">. </w:t>
            </w:r>
            <w:r>
              <w:rPr>
                <w:rFonts w:ascii="Arial Narrow" w:hAnsi="Arial Narrow"/>
                <w:sz w:val="22"/>
                <w:lang w:val="en-GB"/>
              </w:rPr>
              <w:t>CIMAP-INS-QSE-001</w:t>
            </w:r>
          </w:p>
        </w:tc>
        <w:tc>
          <w:tcPr>
            <w:tcW w:w="5571" w:type="dxa"/>
          </w:tcPr>
          <w:p w:rsidR="00A94B6B" w:rsidRPr="00D975C0" w:rsidRDefault="00A94B6B" w:rsidP="00F97CA7">
            <w:pPr>
              <w:pStyle w:val="En-tte"/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Fiche pratique radioprotection</w:t>
            </w:r>
            <w:r>
              <w:rPr>
                <w:rFonts w:ascii="Arial Narrow" w:hAnsi="Arial Narrow"/>
                <w:b/>
                <w:sz w:val="32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:rsidR="00A94B6B" w:rsidRPr="007D6AF9" w:rsidRDefault="00A94B6B" w:rsidP="00F97CA7">
            <w:pPr>
              <w:pStyle w:val="En-tte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 de création  Aout 2012</w:t>
            </w:r>
          </w:p>
          <w:p w:rsidR="00A94B6B" w:rsidRPr="007D6AF9" w:rsidRDefault="00A94B6B" w:rsidP="00F97CA7">
            <w:pPr>
              <w:pStyle w:val="En-tte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Version 1.</w:t>
            </w:r>
            <w:r w:rsidR="00EB5210">
              <w:rPr>
                <w:rFonts w:ascii="Arial Narrow" w:hAnsi="Arial Narrow"/>
                <w:sz w:val="22"/>
              </w:rPr>
              <w:t>1 Sept 2014</w:t>
            </w:r>
          </w:p>
        </w:tc>
      </w:tr>
    </w:tbl>
    <w:p w:rsidR="00A94B6B" w:rsidRDefault="00A94B6B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L’utilisation de radioéléments sous forme de sources scellées, non scellées et/ou le travail auprès d’accélérateurs de particules ou de générateurs de rayons X entraînent un risque possible d’exposition </w:t>
      </w:r>
      <w:r w:rsidR="00051536">
        <w:rPr>
          <w:rFonts w:ascii="Arial" w:hAnsi="Arial" w:cs="Arial"/>
          <w:sz w:val="22"/>
          <w:szCs w:val="22"/>
        </w:rPr>
        <w:t>aux rayonnements ionisants</w:t>
      </w:r>
      <w:r>
        <w:rPr>
          <w:rFonts w:ascii="Arial" w:hAnsi="Arial" w:cs="Arial"/>
          <w:sz w:val="22"/>
          <w:szCs w:val="22"/>
        </w:rPr>
        <w:t>.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Cette fiche a pour objet de présenter les grands principes de radioprotection, l’utilisation de la radioactivité au </w:t>
      </w:r>
      <w:r w:rsidR="00051536">
        <w:rPr>
          <w:rFonts w:ascii="Arial" w:hAnsi="Arial" w:cs="Arial"/>
          <w:sz w:val="22"/>
          <w:szCs w:val="22"/>
        </w:rPr>
        <w:t>CIMAP</w:t>
      </w:r>
      <w:r w:rsidR="00BB065A">
        <w:rPr>
          <w:rFonts w:ascii="Arial" w:hAnsi="Arial" w:cs="Arial"/>
          <w:sz w:val="22"/>
          <w:szCs w:val="22"/>
        </w:rPr>
        <w:t>-ENSI</w:t>
      </w:r>
      <w:r>
        <w:rPr>
          <w:rFonts w:ascii="Arial" w:hAnsi="Arial" w:cs="Arial"/>
          <w:sz w:val="22"/>
          <w:szCs w:val="22"/>
        </w:rPr>
        <w:t xml:space="preserve"> et les consignes de radioprotection en place.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7C6E48" w:rsidRDefault="007C6E4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99"/>
        <w:tblLook w:val="01E0"/>
      </w:tblPr>
      <w:tblGrid>
        <w:gridCol w:w="10344"/>
      </w:tblGrid>
      <w:tr w:rsidR="009F0D91">
        <w:trPr>
          <w:jc w:val="center"/>
        </w:trPr>
        <w:tc>
          <w:tcPr>
            <w:tcW w:w="10344" w:type="dxa"/>
            <w:shd w:val="clear" w:color="auto" w:fill="FFFF99"/>
          </w:tcPr>
          <w:p w:rsidR="009F0D91" w:rsidRDefault="009F0D9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Généralités en radioprotection</w:t>
            </w:r>
          </w:p>
        </w:tc>
      </w:tr>
    </w:tbl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Définition </w:t>
      </w:r>
      <w:r>
        <w:rPr>
          <w:rFonts w:ascii="Arial" w:hAnsi="Arial" w:cs="Arial"/>
          <w:sz w:val="22"/>
          <w:szCs w:val="22"/>
        </w:rPr>
        <w:t xml:space="preserve">: Emission d’énergie sous forme de rayonnement lors du passage d’un noyau instable à un noyau stable.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BB065A" w:rsidRDefault="009F0D91" w:rsidP="00BB065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Les différents types de rayonnements</w:t>
      </w:r>
      <w:r w:rsidR="00BB065A">
        <w:rPr>
          <w:rFonts w:ascii="Arial" w:hAnsi="Arial" w:cs="Arial"/>
          <w:sz w:val="22"/>
          <w:szCs w:val="22"/>
          <w:u w:val="single"/>
        </w:rPr>
        <w:t xml:space="preserve"> : </w:t>
      </w:r>
    </w:p>
    <w:p w:rsidR="00BB065A" w:rsidRPr="00BB065A" w:rsidRDefault="00BB065A" w:rsidP="00BB065A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13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889"/>
        <w:gridCol w:w="1841"/>
        <w:gridCol w:w="1408"/>
        <w:gridCol w:w="1596"/>
        <w:gridCol w:w="1948"/>
        <w:gridCol w:w="3688"/>
      </w:tblGrid>
      <w:tr w:rsidR="009F0D91">
        <w:trPr>
          <w:trHeight w:val="503"/>
          <w:tblCellSpacing w:w="0" w:type="dxa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Energie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Parcours dans l’air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Parcours dans la matière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Moyen de protection</w:t>
            </w:r>
          </w:p>
        </w:tc>
      </w:tr>
      <w:tr w:rsidR="009F0D91">
        <w:trPr>
          <w:trHeight w:val="332"/>
          <w:tblCellSpacing w:w="0" w:type="dxa"/>
        </w:trPr>
        <w:tc>
          <w:tcPr>
            <w:tcW w:w="8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Alpha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Particule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à 10 MeV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micromètre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Blouse et gant</w:t>
            </w:r>
          </w:p>
        </w:tc>
      </w:tr>
      <w:tr w:rsidR="009F0D91">
        <w:trPr>
          <w:trHeight w:val="493"/>
          <w:tblCellSpacing w:w="0" w:type="dxa"/>
        </w:trPr>
        <w:tc>
          <w:tcPr>
            <w:tcW w:w="8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Beta -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Particule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à 3 MeV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Plexiglas (pas de Plomb car émission de rayon X)</w:t>
            </w:r>
          </w:p>
        </w:tc>
      </w:tr>
      <w:tr w:rsidR="009F0D91">
        <w:trPr>
          <w:trHeight w:val="530"/>
          <w:tblCellSpacing w:w="0" w:type="dxa"/>
        </w:trPr>
        <w:tc>
          <w:tcPr>
            <w:tcW w:w="8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Gamma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Onde électromagnétique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à 3 MeV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100aine de 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Traversant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Pb, béton</w:t>
            </w:r>
          </w:p>
        </w:tc>
      </w:tr>
      <w:tr w:rsidR="009F0D91">
        <w:trPr>
          <w:trHeight w:val="675"/>
          <w:tblCellSpacing w:w="0" w:type="dxa"/>
        </w:trPr>
        <w:tc>
          <w:tcPr>
            <w:tcW w:w="8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Onde électromagnétique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centaine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keV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10aine à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100aine de 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Traversant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Pb, béton</w:t>
            </w:r>
          </w:p>
        </w:tc>
      </w:tr>
      <w:tr w:rsidR="009F0D91">
        <w:trPr>
          <w:trHeight w:val="488"/>
          <w:tblCellSpacing w:w="0" w:type="dxa"/>
        </w:trPr>
        <w:tc>
          <w:tcPr>
            <w:tcW w:w="8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0000"/>
          </w:tcPr>
          <w:p w:rsidR="009F0D91" w:rsidRDefault="009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Neutron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Particule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MeV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Traversant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F0D91" w:rsidRDefault="009F0D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Matériaux légers (polystyrène, eau) puis matériaux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neutrophage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(Bore, Cadmium)</w:t>
            </w:r>
          </w:p>
        </w:tc>
      </w:tr>
    </w:tbl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Les unités et grandeurs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L’activité A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désintégration par seconde en Bq</w:t>
      </w:r>
    </w:p>
    <w:p w:rsidR="009F0D91" w:rsidRDefault="009F0D9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Décroissance de l’activité au cours du temps: A = </w:t>
      </w:r>
      <w:proofErr w:type="gramStart"/>
      <w:r>
        <w:rPr>
          <w:rFonts w:ascii="Arial" w:hAnsi="Arial" w:cs="Arial"/>
          <w:sz w:val="22"/>
          <w:szCs w:val="22"/>
        </w:rPr>
        <w:t>A0 .</w:t>
      </w:r>
      <w:proofErr w:type="gramEnd"/>
      <w:r>
        <w:rPr>
          <w:rFonts w:ascii="Arial" w:hAnsi="Arial" w:cs="Arial"/>
          <w:sz w:val="22"/>
          <w:szCs w:val="22"/>
        </w:rPr>
        <w:t xml:space="preserve"> e-</w:t>
      </w:r>
      <w:r>
        <w:rPr>
          <w:rFonts w:ascii="Arial" w:hAnsi="Arial" w:cs="Arial"/>
          <w:sz w:val="22"/>
          <w:szCs w:val="22"/>
        </w:rPr>
        <w:sym w:font="Symbol" w:char="006C"/>
      </w:r>
      <w:r>
        <w:rPr>
          <w:rFonts w:ascii="Arial" w:hAnsi="Arial" w:cs="Arial"/>
          <w:sz w:val="22"/>
          <w:szCs w:val="22"/>
        </w:rPr>
        <w:t>.t</w:t>
      </w:r>
    </w:p>
    <w:p w:rsidR="009F0D91" w:rsidRDefault="009F0D91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avec</w:t>
      </w:r>
      <w:proofErr w:type="gramEnd"/>
      <w:r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Ao</w:t>
      </w:r>
      <w:proofErr w:type="spellEnd"/>
      <w:r>
        <w:rPr>
          <w:rFonts w:ascii="Arial" w:hAnsi="Arial" w:cs="Arial"/>
          <w:sz w:val="22"/>
          <w:szCs w:val="22"/>
        </w:rPr>
        <w:t xml:space="preserve"> = activité initiale </w:t>
      </w:r>
    </w:p>
    <w:p w:rsidR="009F0D91" w:rsidRDefault="009F0D91">
      <w:pPr>
        <w:ind w:left="1068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006C"/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sz w:val="22"/>
          <w:szCs w:val="22"/>
        </w:rPr>
        <w:t>cte</w:t>
      </w:r>
      <w:proofErr w:type="spellEnd"/>
      <w:r>
        <w:rPr>
          <w:rFonts w:ascii="Arial" w:hAnsi="Arial" w:cs="Arial"/>
          <w:sz w:val="22"/>
          <w:szCs w:val="22"/>
        </w:rPr>
        <w:t xml:space="preserve"> radioactive = ln2/Tr = 0,693/ Tr</w:t>
      </w:r>
    </w:p>
    <w:p w:rsidR="009F0D91" w:rsidRDefault="009F0D91">
      <w:pPr>
        <w:ind w:left="720" w:firstLine="6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 = période radioactive</w:t>
      </w:r>
    </w:p>
    <w:p w:rsidR="009F0D91" w:rsidRDefault="009F0D9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 = temps </w:t>
      </w:r>
    </w:p>
    <w:p w:rsidR="009F0D91" w:rsidRDefault="009F0D91">
      <w:pPr>
        <w:jc w:val="both"/>
        <w:rPr>
          <w:rFonts w:ascii="Arial" w:hAnsi="Arial" w:cs="Arial"/>
          <w:b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dose absorbée D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Quantité d’énergie transférée à la matière</w:t>
      </w:r>
      <w:r>
        <w:rPr>
          <w:rFonts w:ascii="Arial" w:hAnsi="Arial" w:cs="Arial"/>
          <w:sz w:val="22"/>
          <w:szCs w:val="22"/>
        </w:rPr>
        <w:t xml:space="preserve"> (par unité de masse dans un volume donnée) en Gy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Débit de dose  = D en Gy / h ou rad/h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dose équivalente H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Permet de tenir compte des différents types de rayonnements (ils ne produisent pas le même effet biologique pour une même dose absorbée).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H=D*</w:t>
      </w:r>
      <w:proofErr w:type="spellStart"/>
      <w:r>
        <w:rPr>
          <w:rFonts w:ascii="Arial" w:hAnsi="Arial" w:cs="Arial"/>
          <w:sz w:val="22"/>
          <w:szCs w:val="22"/>
        </w:rPr>
        <w:t>Wr</w:t>
      </w:r>
      <w:proofErr w:type="spellEnd"/>
      <w:r>
        <w:rPr>
          <w:rFonts w:ascii="Arial" w:hAnsi="Arial" w:cs="Arial"/>
          <w:sz w:val="22"/>
          <w:szCs w:val="22"/>
        </w:rPr>
        <w:t xml:space="preserve"> en Sv</w:t>
      </w:r>
      <w:r w:rsidR="00A94B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Avec </w:t>
      </w:r>
      <w:proofErr w:type="spellStart"/>
      <w:r>
        <w:rPr>
          <w:rFonts w:ascii="Arial" w:hAnsi="Arial" w:cs="Arial"/>
          <w:sz w:val="22"/>
          <w:szCs w:val="22"/>
        </w:rPr>
        <w:t>Wr</w:t>
      </w:r>
      <w:proofErr w:type="spellEnd"/>
      <w:r>
        <w:rPr>
          <w:rFonts w:ascii="Arial" w:hAnsi="Arial" w:cs="Arial"/>
          <w:sz w:val="22"/>
          <w:szCs w:val="22"/>
        </w:rPr>
        <w:t xml:space="preserve"> un facteur de pondération radiologique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dose efficace E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Permet de tenir compte de la sensibilité des différents tissus et organes du corps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E=</w:t>
      </w:r>
      <w:proofErr w:type="gramStart"/>
      <w:r>
        <w:rPr>
          <w:rFonts w:ascii="Arial" w:hAnsi="Arial" w:cs="Arial"/>
          <w:sz w:val="22"/>
          <w:szCs w:val="22"/>
        </w:rPr>
        <w:t>somme(</w:t>
      </w:r>
      <w:proofErr w:type="gramEnd"/>
      <w:r>
        <w:rPr>
          <w:rFonts w:ascii="Arial" w:hAnsi="Arial" w:cs="Arial"/>
          <w:sz w:val="22"/>
          <w:szCs w:val="22"/>
        </w:rPr>
        <w:t>H*</w:t>
      </w:r>
      <w:proofErr w:type="spellStart"/>
      <w:r>
        <w:rPr>
          <w:rFonts w:ascii="Arial" w:hAnsi="Arial" w:cs="Arial"/>
          <w:sz w:val="22"/>
          <w:szCs w:val="22"/>
        </w:rPr>
        <w:t>Wt</w:t>
      </w:r>
      <w:proofErr w:type="spellEnd"/>
      <w:r>
        <w:rPr>
          <w:rFonts w:ascii="Arial" w:hAnsi="Arial" w:cs="Arial"/>
          <w:sz w:val="22"/>
          <w:szCs w:val="22"/>
        </w:rPr>
        <w:t>) en Sv</w:t>
      </w:r>
      <w:r w:rsidR="00A94B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Avec </w:t>
      </w:r>
      <w:proofErr w:type="spellStart"/>
      <w:r>
        <w:rPr>
          <w:rFonts w:ascii="Arial" w:hAnsi="Arial" w:cs="Arial"/>
          <w:sz w:val="22"/>
          <w:szCs w:val="22"/>
        </w:rPr>
        <w:t>Wt</w:t>
      </w:r>
      <w:proofErr w:type="spellEnd"/>
      <w:r>
        <w:rPr>
          <w:rFonts w:ascii="Arial" w:hAnsi="Arial" w:cs="Arial"/>
          <w:sz w:val="22"/>
          <w:szCs w:val="22"/>
        </w:rPr>
        <w:t xml:space="preserve"> facteur de pondération du tissus</w:t>
      </w:r>
    </w:p>
    <w:p w:rsidR="00051536" w:rsidRDefault="00051536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Irradiation et contamination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Irradiation</w:t>
      </w:r>
      <w:r>
        <w:rPr>
          <w:rFonts w:ascii="Arial" w:hAnsi="Arial" w:cs="Arial"/>
          <w:sz w:val="22"/>
          <w:szCs w:val="22"/>
        </w:rPr>
        <w:t> : exposition de l’organisme à des rayonnements ionisants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Contamination</w:t>
      </w:r>
      <w:r>
        <w:rPr>
          <w:rFonts w:ascii="Arial" w:hAnsi="Arial" w:cs="Arial"/>
          <w:sz w:val="22"/>
          <w:szCs w:val="22"/>
        </w:rPr>
        <w:t> : présence indésirable de substance radioactive à la surface ou à l’intérieur de l’organisme (interne ou externe)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Effets biologiques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Irradiation peut entraîner la mort de la cellule (à de forte dose) ou une mutation de la cellule pouvant alors engendrer des cancers et des effets génétiques.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Effets déterministes</w:t>
      </w:r>
      <w:r>
        <w:rPr>
          <w:rFonts w:ascii="Arial" w:hAnsi="Arial" w:cs="Arial"/>
          <w:sz w:val="22"/>
          <w:szCs w:val="22"/>
        </w:rPr>
        <w:t> : ils sont liés à une forte dose et n’apparaissent qu’à partir d’une dose seuil (0,2 Gy). La gravité de l’effet augmente proportionnellement à la dose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Effets stochastiques</w:t>
      </w:r>
      <w:r>
        <w:rPr>
          <w:rFonts w:ascii="Arial" w:hAnsi="Arial" w:cs="Arial"/>
          <w:sz w:val="22"/>
          <w:szCs w:val="22"/>
        </w:rPr>
        <w:t xml:space="preserve"> : ils sont liés au hasard (à la fois les faibles et les fortes doses peuvent en être la cause) Seule la probabilité d’apparition est proportionnelle à la dose. Ce sont les cancers et les maladies héréditaires.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Protections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Temps</w:t>
      </w:r>
      <w:r>
        <w:rPr>
          <w:rFonts w:ascii="Arial" w:hAnsi="Arial" w:cs="Arial"/>
          <w:sz w:val="22"/>
          <w:szCs w:val="22"/>
        </w:rPr>
        <w:t xml:space="preserve"> : car D=D°*t (à débit de dose constant, la dose d’exposition est fonction linéaire du temps) </w:t>
      </w:r>
      <w:r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Faire des essais à blanc pour s’entraîner et optimiser le protocole de manipulation de telle manière que la durée de l’exposition soit la plus faible possible.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Distance</w:t>
      </w:r>
      <w:r>
        <w:rPr>
          <w:rFonts w:ascii="Arial" w:hAnsi="Arial" w:cs="Arial"/>
          <w:sz w:val="22"/>
          <w:szCs w:val="22"/>
        </w:rPr>
        <w:t xml:space="preserve"> : car la dose reçue décroît avec l’éloignement par rapport à la source </w:t>
      </w:r>
      <w:r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Utilisation de pinces</w:t>
      </w:r>
      <w:r w:rsidR="007C6E48">
        <w:rPr>
          <w:rFonts w:ascii="Arial" w:hAnsi="Arial" w:cs="Arial"/>
          <w:sz w:val="22"/>
          <w:szCs w:val="22"/>
        </w:rPr>
        <w:t>, déporter les équipements d’acquisition et de contrôle, …</w:t>
      </w:r>
    </w:p>
    <w:p w:rsidR="009F0D91" w:rsidRDefault="00BE12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pict>
          <v:group id="_x0000_s1053" editas="canvas" style="width:566.6pt;height:157.1pt;mso-position-horizontal-relative:char;mso-position-vertical-relative:line" coordorigin="494,5374" coordsize="11332,31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494;top:5374;width:11332;height:3142" o:preferrelative="f">
              <v:fill o:detectmouseclick="t"/>
              <v:path o:extrusionok="t" o:connecttype="none"/>
              <o:lock v:ext="edit" text="t"/>
            </v:shape>
            <v:rect id="_x0000_s1048" style="position:absolute;left:551;top:5374;width:11218;height:3142;v-text-anchor:middle" stroked="f"/>
            <v:line id="_x0000_s1049" style="position:absolute" from="494,8516" to="11826,8516" strokecolor="#5f5f5f" strokeweight="4pt">
              <v:stroke startarrowwidth="narrow" startarrowlength="short" endarrowwidth="narrow" endarrowlength="short"/>
            </v:line>
            <v:shape id="_x0000_s1050" type="#_x0000_t75" style="position:absolute;left:10536;top:7507;width:755;height:976" fillcolor="#0c9">
              <v:imagedata r:id="rId8" o:title=""/>
              <o:lock v:ext="edit" aspectratio="f"/>
            </v:shape>
            <v:shape id="_x0000_s1051" type="#_x0000_t75" style="position:absolute;left:10648;top:7843;width:387;height:386" fillcolor="#0c9">
              <v:imagedata r:id="rId9" o:title=""/>
              <o:lock v:ext="edit" aspectratio="f"/>
            </v:shape>
            <v:group id="_x0000_s1054" style="position:absolute;left:640;top:5440;width:6240;height:3010" coordorigin="528,2400" coordsize="2496,1203">
              <v:group id="_x0000_s1055" style="position:absolute;left:528;top:2400;width:2496;height:1203" coordorigin="528,2400" coordsize="2496,1203">
                <v:shape id="_x0000_s1056" type="#_x0000_t75" style="position:absolute;left:654;top:2811;width:650;height:792" fillcolor="#0c9">
                  <v:fill o:detectmouseclick="t"/>
                  <v:imagedata r:id="rId10" o:title=""/>
                  <o:lock v:ext="edit" aspectratio="f"/>
                </v:shape>
                <v:rect id="_x0000_s1057" style="position:absolute;left:528;top:2400;width:2496;height:327" filled="f" fillcolor="#0c9" stroked="f">
                  <v:textbox inset="7.25pt,1.2788mm,7.25pt,1.2788mm">
                    <w:txbxContent>
                      <w:p w:rsidR="00A700A2" w:rsidRDefault="00A700A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5F5F5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5F5F5F"/>
                            <w:sz w:val="56"/>
                            <w:szCs w:val="56"/>
                          </w:rPr>
                          <w:t>Dose d</w:t>
                        </w:r>
                        <w:r>
                          <w:rPr>
                            <w:b/>
                            <w:bCs/>
                            <w:color w:val="5F5F5F"/>
                            <w:sz w:val="56"/>
                            <w:szCs w:val="56"/>
                            <w:vertAlign w:val="subscript"/>
                          </w:rPr>
                          <w:t xml:space="preserve">2 </w:t>
                        </w:r>
                        <w:r>
                          <w:rPr>
                            <w:b/>
                            <w:bCs/>
                            <w:color w:val="5F5F5F"/>
                            <w:sz w:val="40"/>
                            <w:szCs w:val="40"/>
                          </w:rPr>
                          <w:t xml:space="preserve">= 1 </w:t>
                        </w:r>
                        <w:proofErr w:type="spellStart"/>
                        <w:r>
                          <w:rPr>
                            <w:b/>
                            <w:bCs/>
                            <w:color w:val="5F5F5F"/>
                            <w:sz w:val="40"/>
                            <w:szCs w:val="40"/>
                          </w:rPr>
                          <w:t>mSv</w:t>
                        </w:r>
                        <w:proofErr w:type="spellEnd"/>
                        <w:r>
                          <w:rPr>
                            <w:b/>
                            <w:bCs/>
                            <w:color w:val="5F5F5F"/>
                            <w:sz w:val="40"/>
                            <w:szCs w:val="40"/>
                          </w:rPr>
                          <w:t xml:space="preserve"> / h</w:t>
                        </w:r>
                      </w:p>
                    </w:txbxContent>
                  </v:textbox>
                </v:rect>
              </v:group>
              <v:oval id="_x0000_s1058" style="position:absolute;left:1200;top:2400;width:48;height:48;v-text-anchor:middle" fillcolor="gray" strokecolor="gray"/>
            </v:group>
            <v:group id="_x0000_s1059" style="position:absolute;left:5800;top:5440;width:5880;height:2961" coordorigin="2592,2400" coordsize="2352,1184">
              <v:group id="_x0000_s1060" style="position:absolute;left:2592;top:2400;width:2352;height:1184" coordorigin="2592,2400" coordsize="2352,1184">
                <v:shape id="_x0000_s1061" type="#_x0000_t75" style="position:absolute;left:2688;top:2784;width:539;height:800" fillcolor="#0c9">
                  <v:fill o:detectmouseclick="t"/>
                  <v:imagedata r:id="rId11" o:title=""/>
                  <o:lock v:ext="edit" aspectratio="f"/>
                </v:shape>
                <v:rect id="_x0000_s1062" style="position:absolute;left:2592;top:2400;width:2352;height:327" filled="f" fillcolor="#0c9" stroked="f">
                  <v:textbox inset="7.25pt,1.2788mm,7.25pt,1.2788mm">
                    <w:txbxContent>
                      <w:p w:rsidR="00A700A2" w:rsidRDefault="00A700A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5F5F5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5F5F5F"/>
                            <w:sz w:val="56"/>
                            <w:szCs w:val="56"/>
                          </w:rPr>
                          <w:t>Dose d</w:t>
                        </w:r>
                        <w:r>
                          <w:rPr>
                            <w:b/>
                            <w:bCs/>
                            <w:color w:val="5F5F5F"/>
                            <w:sz w:val="56"/>
                            <w:szCs w:val="56"/>
                            <w:vertAlign w:val="subscript"/>
                          </w:rPr>
                          <w:t xml:space="preserve">1 </w:t>
                        </w:r>
                        <w:r>
                          <w:rPr>
                            <w:b/>
                            <w:bCs/>
                            <w:color w:val="5F5F5F"/>
                            <w:sz w:val="40"/>
                            <w:szCs w:val="40"/>
                          </w:rPr>
                          <w:t xml:space="preserve">= 4 </w:t>
                        </w:r>
                        <w:proofErr w:type="spellStart"/>
                        <w:r>
                          <w:rPr>
                            <w:b/>
                            <w:bCs/>
                            <w:color w:val="5F5F5F"/>
                            <w:sz w:val="40"/>
                            <w:szCs w:val="40"/>
                          </w:rPr>
                          <w:t>mSv</w:t>
                        </w:r>
                        <w:proofErr w:type="spellEnd"/>
                        <w:r>
                          <w:rPr>
                            <w:b/>
                            <w:bCs/>
                            <w:color w:val="5F5F5F"/>
                            <w:sz w:val="40"/>
                            <w:szCs w:val="40"/>
                          </w:rPr>
                          <w:t xml:space="preserve"> / h</w:t>
                        </w:r>
                      </w:p>
                    </w:txbxContent>
                  </v:textbox>
                </v:rect>
              </v:group>
              <v:oval id="_x0000_s1063" style="position:absolute;left:3216;top:2400;width:48;height:48;v-text-anchor:middle" fillcolor="gray" strokecolor="gray"/>
            </v:group>
            <v:group id="_x0000_s1064" style="position:absolute;left:1154;top:6585;width:10500;height:720" coordorigin="768,3696" coordsize="4200,288">
              <v:line id="_x0000_s1065" style="position:absolute" from="768,3696" to="4968,3696" strokecolor="#1f57ff" strokeweight="1pt">
                <v:stroke startarrow="classic" endarrow="classic"/>
              </v:line>
              <v:rect id="_x0000_s1066" style="position:absolute;left:1344;top:3696;width:1248;height:288" filled="f" fillcolor="#0c9" stroked="f">
                <v:textbox inset="7.25pt,1.2788mm,7.25pt,1.2788mm">
                  <w:txbxContent>
                    <w:p w:rsidR="00A700A2" w:rsidRDefault="00A700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1F57FF"/>
                          <w:sz w:val="32"/>
                          <w:szCs w:val="32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color w:val="1F57FF"/>
                          <w:sz w:val="48"/>
                          <w:szCs w:val="48"/>
                        </w:rPr>
                        <w:t>D</w:t>
                      </w:r>
                      <w:r>
                        <w:rPr>
                          <w:b/>
                          <w:bCs/>
                          <w:color w:val="1F57FF"/>
                          <w:sz w:val="48"/>
                          <w:szCs w:val="48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color w:val="1F57FF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57FF"/>
                          <w:sz w:val="32"/>
                          <w:szCs w:val="32"/>
                        </w:rPr>
                        <w:t>= 2 D</w:t>
                      </w:r>
                      <w:r>
                        <w:rPr>
                          <w:b/>
                          <w:bCs/>
                          <w:color w:val="1F57FF"/>
                          <w:sz w:val="32"/>
                          <w:szCs w:val="32"/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v:group>
            <v:group id="_x0000_s1067" style="position:absolute;left:6374;top:7174;width:5280;height:721" coordorigin="2832,3792" coordsize="2112,288">
              <v:line id="_x0000_s1068" style="position:absolute;flip:y" from="2832,3840" to="4944,3840" strokecolor="#1f57ff" strokeweight="1pt">
                <v:stroke startarrow="classic" endarrow="classic"/>
              </v:line>
              <v:rect id="_x0000_s1069" style="position:absolute;left:3744;top:3792;width:384;height:288" filled="f" fillcolor="#0c9" stroked="f">
                <v:textbox inset="7.25pt,1.2788mm,7.25pt,1.2788mm">
                  <w:txbxContent>
                    <w:p w:rsidR="00A700A2" w:rsidRDefault="00A700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1F57FF"/>
                          <w:sz w:val="48"/>
                          <w:szCs w:val="48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color w:val="1F57FF"/>
                          <w:sz w:val="48"/>
                          <w:szCs w:val="48"/>
                        </w:rPr>
                        <w:t>D</w:t>
                      </w:r>
                      <w:r>
                        <w:rPr>
                          <w:b/>
                          <w:bCs/>
                          <w:color w:val="1F57FF"/>
                          <w:sz w:val="48"/>
                          <w:szCs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v:group>
            <w10:wrap type="none"/>
            <w10:anchorlock/>
          </v:group>
          <o:OLEObject Type="Embed" ProgID="Unknown" ShapeID="_x0000_s1056" DrawAspect="Content" ObjectID="_1473074215" r:id="rId12"/>
          <o:OLEObject Type="Embed" ProgID="Unknown" ShapeID="_x0000_s1061" DrawAspect="Content" ObjectID="_1473074216" r:id="rId13"/>
        </w:pic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Ecrans</w:t>
      </w:r>
      <w:r>
        <w:rPr>
          <w:rFonts w:ascii="Arial" w:hAnsi="Arial" w:cs="Arial"/>
          <w:sz w:val="22"/>
          <w:szCs w:val="22"/>
        </w:rPr>
        <w:t xml:space="preserve"> : Permet d’atténuer la dose reçue </w:t>
      </w:r>
      <w:r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le plomb pour les Gamma et les X ; le plexiglas pour les Bêta-.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013EB2" w:rsidRPr="00013EB2" w:rsidRDefault="009F0D91" w:rsidP="00013EB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Zonage, classement des travailleur</w:t>
      </w:r>
      <w:r w:rsidR="0006495A">
        <w:rPr>
          <w:rFonts w:ascii="Arial" w:hAnsi="Arial" w:cs="Arial"/>
          <w:sz w:val="22"/>
          <w:szCs w:val="22"/>
          <w:u w:val="single"/>
        </w:rPr>
        <w:t>s</w:t>
      </w:r>
      <w:r>
        <w:rPr>
          <w:rFonts w:ascii="Arial" w:hAnsi="Arial" w:cs="Arial"/>
          <w:sz w:val="22"/>
          <w:szCs w:val="22"/>
          <w:u w:val="single"/>
        </w:rPr>
        <w:t xml:space="preserve"> et suivi médical</w:t>
      </w:r>
    </w:p>
    <w:p w:rsidR="00013EB2" w:rsidRDefault="00013EB2">
      <w:pPr>
        <w:jc w:val="both"/>
        <w:rPr>
          <w:rFonts w:ascii="Arial" w:hAnsi="Arial" w:cs="Arial"/>
          <w:b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classement des locaux de travail</w:t>
      </w:r>
      <w:r>
        <w:rPr>
          <w:rFonts w:ascii="Arial" w:hAnsi="Arial" w:cs="Arial"/>
          <w:sz w:val="22"/>
          <w:szCs w:val="22"/>
        </w:rPr>
        <w:t xml:space="preserve"> selon l’arrêté du 15 mai 2006 : Les lieux où l’exposition des travailleurs est susceptible, dans des conditions normales de travail, de dépasser certaines limites annuelles, sont classée</w:t>
      </w:r>
      <w:r w:rsidR="007C6E4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en différentes zones selon les seuils suivant : </w:t>
      </w:r>
    </w:p>
    <w:p w:rsidR="009F0D91" w:rsidRDefault="009F0D91">
      <w:pPr>
        <w:jc w:val="both"/>
        <w:rPr>
          <w:rFonts w:ascii="Arial" w:hAnsi="Arial" w:cs="Arial"/>
          <w:sz w:val="20"/>
        </w:rPr>
      </w:pPr>
    </w:p>
    <w:p w:rsidR="009F0D91" w:rsidRDefault="00A94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8890</wp:posOffset>
            </wp:positionV>
            <wp:extent cx="4229100" cy="2667000"/>
            <wp:effectExtent l="19050" t="0" r="0" b="0"/>
            <wp:wrapTight wrapText="bothSides">
              <wp:wrapPolygon edited="0">
                <wp:start x="-97" y="0"/>
                <wp:lineTo x="-97" y="21446"/>
                <wp:lineTo x="21600" y="21446"/>
                <wp:lineTo x="21600" y="0"/>
                <wp:lineTo x="-97" y="0"/>
              </wp:wrapPolygon>
            </wp:wrapTight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EB2" w:rsidRDefault="00013EB2">
      <w:pPr>
        <w:jc w:val="both"/>
        <w:rPr>
          <w:rFonts w:ascii="Arial" w:hAnsi="Arial" w:cs="Arial"/>
          <w:sz w:val="22"/>
          <w:szCs w:val="22"/>
        </w:rPr>
      </w:pPr>
    </w:p>
    <w:p w:rsidR="00013EB2" w:rsidRDefault="00013EB2">
      <w:pPr>
        <w:jc w:val="both"/>
        <w:rPr>
          <w:rFonts w:ascii="Arial" w:hAnsi="Arial" w:cs="Arial"/>
          <w:sz w:val="22"/>
          <w:szCs w:val="22"/>
        </w:rPr>
      </w:pPr>
    </w:p>
    <w:p w:rsidR="00013EB2" w:rsidRDefault="00013EB2">
      <w:pPr>
        <w:jc w:val="both"/>
        <w:rPr>
          <w:rFonts w:ascii="Arial" w:hAnsi="Arial" w:cs="Arial"/>
          <w:sz w:val="22"/>
          <w:szCs w:val="22"/>
        </w:rPr>
      </w:pPr>
    </w:p>
    <w:p w:rsidR="00013EB2" w:rsidRDefault="00013EB2">
      <w:pPr>
        <w:jc w:val="both"/>
        <w:rPr>
          <w:rFonts w:ascii="Arial" w:hAnsi="Arial" w:cs="Arial"/>
          <w:sz w:val="22"/>
          <w:szCs w:val="22"/>
        </w:rPr>
      </w:pPr>
    </w:p>
    <w:p w:rsidR="00013EB2" w:rsidRDefault="00013EB2">
      <w:pPr>
        <w:jc w:val="both"/>
        <w:rPr>
          <w:rFonts w:ascii="Arial" w:hAnsi="Arial" w:cs="Arial"/>
          <w:sz w:val="22"/>
          <w:szCs w:val="22"/>
        </w:rPr>
      </w:pPr>
    </w:p>
    <w:p w:rsidR="00A94B6B" w:rsidRDefault="00A94B6B">
      <w:pPr>
        <w:jc w:val="both"/>
        <w:rPr>
          <w:rFonts w:ascii="Arial" w:hAnsi="Arial" w:cs="Arial"/>
          <w:sz w:val="22"/>
          <w:szCs w:val="22"/>
        </w:rPr>
      </w:pPr>
    </w:p>
    <w:p w:rsidR="00A94B6B" w:rsidRDefault="00A94B6B">
      <w:pPr>
        <w:jc w:val="both"/>
        <w:rPr>
          <w:rFonts w:ascii="Arial" w:hAnsi="Arial" w:cs="Arial"/>
          <w:sz w:val="22"/>
          <w:szCs w:val="22"/>
        </w:rPr>
      </w:pPr>
    </w:p>
    <w:p w:rsidR="00A94B6B" w:rsidRDefault="00A94B6B">
      <w:pPr>
        <w:jc w:val="both"/>
        <w:rPr>
          <w:rFonts w:ascii="Arial" w:hAnsi="Arial" w:cs="Arial"/>
          <w:sz w:val="22"/>
          <w:szCs w:val="22"/>
        </w:rPr>
      </w:pPr>
    </w:p>
    <w:p w:rsidR="00A94B6B" w:rsidRDefault="00A94B6B">
      <w:pPr>
        <w:jc w:val="both"/>
        <w:rPr>
          <w:rFonts w:ascii="Arial" w:hAnsi="Arial" w:cs="Arial"/>
          <w:sz w:val="22"/>
          <w:szCs w:val="22"/>
        </w:rPr>
      </w:pPr>
    </w:p>
    <w:p w:rsidR="00A94B6B" w:rsidRDefault="00A94B6B">
      <w:pPr>
        <w:jc w:val="both"/>
        <w:rPr>
          <w:rFonts w:ascii="Arial" w:hAnsi="Arial" w:cs="Arial"/>
          <w:sz w:val="22"/>
          <w:szCs w:val="22"/>
        </w:rPr>
      </w:pPr>
    </w:p>
    <w:p w:rsidR="00A94B6B" w:rsidRDefault="00A94B6B">
      <w:pPr>
        <w:jc w:val="both"/>
        <w:rPr>
          <w:rFonts w:ascii="Arial" w:hAnsi="Arial" w:cs="Arial"/>
          <w:sz w:val="22"/>
          <w:szCs w:val="22"/>
        </w:rPr>
      </w:pPr>
    </w:p>
    <w:p w:rsidR="00A94B6B" w:rsidRDefault="00A94B6B">
      <w:pPr>
        <w:jc w:val="both"/>
        <w:rPr>
          <w:rFonts w:ascii="Arial" w:hAnsi="Arial" w:cs="Arial"/>
          <w:sz w:val="22"/>
          <w:szCs w:val="22"/>
        </w:rPr>
      </w:pPr>
    </w:p>
    <w:p w:rsidR="00A94B6B" w:rsidRDefault="00A94B6B">
      <w:pPr>
        <w:jc w:val="both"/>
        <w:rPr>
          <w:rFonts w:ascii="Arial" w:hAnsi="Arial" w:cs="Arial"/>
          <w:sz w:val="22"/>
          <w:szCs w:val="22"/>
        </w:rPr>
      </w:pPr>
    </w:p>
    <w:p w:rsidR="00BB065A" w:rsidRDefault="00BB065A">
      <w:pPr>
        <w:jc w:val="both"/>
        <w:rPr>
          <w:rFonts w:ascii="Arial" w:hAnsi="Arial" w:cs="Arial"/>
          <w:sz w:val="22"/>
          <w:szCs w:val="22"/>
        </w:rPr>
      </w:pPr>
    </w:p>
    <w:p w:rsidR="00BB065A" w:rsidRDefault="00BB065A">
      <w:pPr>
        <w:jc w:val="both"/>
        <w:rPr>
          <w:rFonts w:ascii="Arial" w:hAnsi="Arial" w:cs="Arial"/>
          <w:sz w:val="22"/>
          <w:szCs w:val="22"/>
        </w:rPr>
      </w:pPr>
    </w:p>
    <w:p w:rsidR="00BB065A" w:rsidRDefault="00BB065A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classification des travailleurs : </w:t>
      </w:r>
    </w:p>
    <w:p w:rsidR="009F0D91" w:rsidRDefault="007C6E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vue de déterminer</w:t>
      </w:r>
      <w:r w:rsidR="009F0D91">
        <w:rPr>
          <w:rFonts w:ascii="Arial" w:hAnsi="Arial" w:cs="Arial"/>
          <w:sz w:val="22"/>
          <w:szCs w:val="22"/>
        </w:rPr>
        <w:t xml:space="preserve"> les conditions de surveillances radiologique et médicale, les travailleurs susceptibles de recevoir une dose efficace supérieur à 1mSv par an sont classé</w:t>
      </w:r>
      <w:r>
        <w:rPr>
          <w:rFonts w:ascii="Arial" w:hAnsi="Arial" w:cs="Arial"/>
          <w:sz w:val="22"/>
          <w:szCs w:val="22"/>
        </w:rPr>
        <w:t>s</w:t>
      </w:r>
      <w:r w:rsidR="009F0D91">
        <w:rPr>
          <w:rFonts w:ascii="Arial" w:hAnsi="Arial" w:cs="Arial"/>
          <w:sz w:val="22"/>
          <w:szCs w:val="22"/>
        </w:rPr>
        <w:t xml:space="preserve"> en 2 catégories A et B dont les limites sont définies comme suit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2868"/>
        <w:gridCol w:w="2868"/>
        <w:gridCol w:w="2868"/>
      </w:tblGrid>
      <w:tr w:rsidR="00BB065A">
        <w:tc>
          <w:tcPr>
            <w:tcW w:w="2868" w:type="dxa"/>
            <w:shd w:val="clear" w:color="auto" w:fill="FF0000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FF0000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Catégorie A</w:t>
            </w:r>
          </w:p>
        </w:tc>
        <w:tc>
          <w:tcPr>
            <w:tcW w:w="2868" w:type="dxa"/>
            <w:shd w:val="clear" w:color="auto" w:fill="FF0000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Catégorie B</w:t>
            </w:r>
          </w:p>
        </w:tc>
        <w:tc>
          <w:tcPr>
            <w:tcW w:w="2868" w:type="dxa"/>
            <w:shd w:val="clear" w:color="auto" w:fill="FF0000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</w:t>
            </w:r>
          </w:p>
        </w:tc>
      </w:tr>
      <w:tr w:rsidR="00BB065A">
        <w:tc>
          <w:tcPr>
            <w:tcW w:w="2868" w:type="dxa"/>
            <w:shd w:val="clear" w:color="auto" w:fill="FF0000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Corps entier</w:t>
            </w:r>
          </w:p>
        </w:tc>
        <w:tc>
          <w:tcPr>
            <w:tcW w:w="2868" w:type="dxa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20mSv/an</w:t>
            </w:r>
          </w:p>
        </w:tc>
        <w:tc>
          <w:tcPr>
            <w:tcW w:w="2868" w:type="dxa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6mSv/an</w:t>
            </w:r>
          </w:p>
        </w:tc>
        <w:tc>
          <w:tcPr>
            <w:tcW w:w="2868" w:type="dxa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1mSv/an</w:t>
            </w:r>
          </w:p>
        </w:tc>
      </w:tr>
      <w:tr w:rsidR="00BB065A">
        <w:tc>
          <w:tcPr>
            <w:tcW w:w="2868" w:type="dxa"/>
            <w:shd w:val="clear" w:color="auto" w:fill="FF0000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Extrémités</w:t>
            </w:r>
          </w:p>
        </w:tc>
        <w:tc>
          <w:tcPr>
            <w:tcW w:w="2868" w:type="dxa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500mSv/an</w:t>
            </w:r>
          </w:p>
        </w:tc>
        <w:tc>
          <w:tcPr>
            <w:tcW w:w="2868" w:type="dxa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150mSv/an</w:t>
            </w:r>
          </w:p>
        </w:tc>
        <w:tc>
          <w:tcPr>
            <w:tcW w:w="2868" w:type="dxa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50mSv/an</w:t>
            </w:r>
          </w:p>
        </w:tc>
      </w:tr>
      <w:tr w:rsidR="00BB065A">
        <w:tc>
          <w:tcPr>
            <w:tcW w:w="2868" w:type="dxa"/>
            <w:shd w:val="clear" w:color="auto" w:fill="FF0000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Femme enceinte</w:t>
            </w:r>
          </w:p>
        </w:tc>
        <w:tc>
          <w:tcPr>
            <w:tcW w:w="5736" w:type="dxa"/>
            <w:gridSpan w:val="2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1mSv/an</w:t>
            </w:r>
          </w:p>
        </w:tc>
        <w:tc>
          <w:tcPr>
            <w:tcW w:w="2868" w:type="dxa"/>
            <w:vAlign w:val="center"/>
          </w:tcPr>
          <w:p w:rsidR="009F0D91" w:rsidRDefault="009F0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</w:tbl>
    <w:p w:rsidR="009F0D91" w:rsidRDefault="009F0D91">
      <w:pPr>
        <w:jc w:val="both"/>
        <w:rPr>
          <w:rFonts w:ascii="Arial" w:hAnsi="Arial" w:cs="Arial"/>
          <w:sz w:val="20"/>
        </w:rPr>
      </w:pPr>
    </w:p>
    <w:p w:rsidR="009F0D91" w:rsidRDefault="000403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1371600" cy="1366520"/>
            <wp:effectExtent l="19050" t="0" r="0" b="0"/>
            <wp:wrapTight wrapText="bothSides">
              <wp:wrapPolygon edited="0">
                <wp:start x="-300" y="0"/>
                <wp:lineTo x="-300" y="21379"/>
                <wp:lineTo x="21600" y="21379"/>
                <wp:lineTo x="21600" y="0"/>
                <wp:lineTo x="-300" y="0"/>
              </wp:wrapPolygon>
            </wp:wrapTight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F0D91">
        <w:rPr>
          <w:rFonts w:ascii="Arial" w:hAnsi="Arial" w:cs="Arial"/>
          <w:b/>
          <w:sz w:val="22"/>
          <w:szCs w:val="22"/>
        </w:rPr>
        <w:t>La surveillance dosimétrique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Chaque travailleur intervenant en zone surveillée ou contrôlée fait l’objet d’un suivi dosimétrique (actif pour les zones contrôlées et passif pour les zones surveillées)</w:t>
      </w:r>
    </w:p>
    <w:p w:rsidR="009F0D91" w:rsidRDefault="008667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plus, certains travailleurs exposés aux rayonnements ionisants en zone non réglementées peuvent bénéficier d’un suivi dosimétrique passif, notamment en cas d’exposition dans plusieurs zones non réglementées</w:t>
      </w:r>
      <w:r w:rsidR="009F0D91">
        <w:rPr>
          <w:rFonts w:ascii="Arial" w:hAnsi="Arial" w:cs="Arial"/>
          <w:sz w:val="22"/>
          <w:szCs w:val="22"/>
        </w:rPr>
        <w:t xml:space="preserve">. Ils bénéficient également d’un suivi médical particulier. </w:t>
      </w:r>
    </w:p>
    <w:p w:rsidR="009F0D91" w:rsidRDefault="009F0D91" w:rsidP="00013E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connaît les résultats de l’exposition après avoir été exposé (les dosimètres sont développés tous les trimestres ou tous les mois selon l’exposition des travailleurs). Ces dosimètres sont individuels et nominatifs.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7C6E48" w:rsidRDefault="007C6E48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9F0D91">
        <w:tc>
          <w:tcPr>
            <w:tcW w:w="10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9F0D91" w:rsidRDefault="009F0D91" w:rsidP="0005153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La radioactivité au </w:t>
            </w:r>
            <w:r w:rsidR="00051536">
              <w:rPr>
                <w:rFonts w:ascii="Arial" w:hAnsi="Arial" w:cs="Arial"/>
                <w:b/>
                <w:szCs w:val="24"/>
              </w:rPr>
              <w:t>CIMAP</w:t>
            </w:r>
          </w:p>
        </w:tc>
      </w:tr>
    </w:tbl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différentes sources de rayonnement au </w:t>
      </w:r>
      <w:r w:rsidR="00051536">
        <w:rPr>
          <w:rFonts w:ascii="Arial" w:hAnsi="Arial" w:cs="Arial"/>
          <w:sz w:val="22"/>
          <w:szCs w:val="22"/>
        </w:rPr>
        <w:t>CIMAP</w:t>
      </w:r>
      <w:r>
        <w:rPr>
          <w:rFonts w:ascii="Arial" w:hAnsi="Arial" w:cs="Arial"/>
          <w:sz w:val="22"/>
          <w:szCs w:val="22"/>
        </w:rPr>
        <w:t xml:space="preserve"> : </w:t>
      </w:r>
    </w:p>
    <w:p w:rsidR="00051536" w:rsidRDefault="00051536" w:rsidP="0086678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CIMAP- GANIL</w:t>
      </w:r>
      <w:r w:rsidR="00866785">
        <w:rPr>
          <w:rFonts w:ascii="Arial" w:hAnsi="Arial" w:cs="Arial"/>
          <w:sz w:val="22"/>
          <w:szCs w:val="22"/>
        </w:rPr>
        <w:t xml:space="preserve"> : </w:t>
      </w:r>
    </w:p>
    <w:p w:rsidR="00051536" w:rsidRDefault="00051536" w:rsidP="00051536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Accélérateurs de particules (IRSUD, D1, Hall D)</w:t>
      </w:r>
    </w:p>
    <w:p w:rsidR="00051536" w:rsidRDefault="00051536" w:rsidP="00051536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Générateurs de rayons X (diffractomètres, klystrons)</w:t>
      </w:r>
    </w:p>
    <w:p w:rsidR="00051536" w:rsidRDefault="00051536" w:rsidP="00051536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Matières nucléaires (Uranium, Thorium, …)</w:t>
      </w:r>
    </w:p>
    <w:p w:rsidR="00866785" w:rsidRPr="00051536" w:rsidRDefault="00051536" w:rsidP="0086678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051536">
        <w:rPr>
          <w:rFonts w:ascii="Arial" w:hAnsi="Arial" w:cs="Arial"/>
          <w:sz w:val="22"/>
          <w:szCs w:val="22"/>
          <w:u w:val="single"/>
        </w:rPr>
        <w:t xml:space="preserve">CIMAP – ENSI : </w:t>
      </w:r>
    </w:p>
    <w:p w:rsidR="00051536" w:rsidRDefault="00051536" w:rsidP="00051536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Générateurs de rayons X (diffractomètre, canon à électrons)</w:t>
      </w:r>
    </w:p>
    <w:p w:rsidR="009F0D91" w:rsidRPr="00BB065A" w:rsidRDefault="00A94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216535</wp:posOffset>
            </wp:positionV>
            <wp:extent cx="571500" cy="523875"/>
            <wp:effectExtent l="19050" t="0" r="0" b="0"/>
            <wp:wrapSquare wrapText="bothSides"/>
            <wp:docPr id="20" name="Image 20" descr="http://www.sdv.fr/aimt67/symboles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dv.fr/aimt67/symboles/002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65A" w:rsidRPr="00BB065A">
        <w:rPr>
          <w:rFonts w:ascii="Arial" w:hAnsi="Arial" w:cs="Arial"/>
          <w:sz w:val="22"/>
          <w:szCs w:val="22"/>
        </w:rPr>
        <w:t>La présente fiche ne décrit pas les consignes de radioprotection applicable au GANIL, qui font l’objet d’une formation spécifique délivrée par le SPR du GANIL</w:t>
      </w:r>
    </w:p>
    <w:p w:rsidR="00A94B6B" w:rsidRDefault="00A94B6B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 w:rsidRPr="007C6E48">
        <w:rPr>
          <w:rFonts w:ascii="Arial" w:hAnsi="Arial" w:cs="Arial"/>
          <w:noProof/>
          <w:sz w:val="22"/>
          <w:szCs w:val="22"/>
        </w:rPr>
        <w:t>Ces</w:t>
      </w:r>
      <w:r>
        <w:rPr>
          <w:rFonts w:ascii="Arial" w:hAnsi="Arial" w:cs="Arial"/>
          <w:sz w:val="22"/>
          <w:szCs w:val="22"/>
        </w:rPr>
        <w:t xml:space="preserve"> zones sont signalées par le </w:t>
      </w:r>
      <w:r>
        <w:rPr>
          <w:rFonts w:ascii="Arial" w:hAnsi="Arial" w:cs="Arial"/>
          <w:b/>
          <w:bCs/>
          <w:sz w:val="22"/>
          <w:szCs w:val="22"/>
        </w:rPr>
        <w:t>pictogramme suivant</w:t>
      </w:r>
      <w:r w:rsidR="007C6E48">
        <w:rPr>
          <w:rFonts w:ascii="Arial" w:hAnsi="Arial" w:cs="Arial"/>
          <w:b/>
          <w:bCs/>
          <w:sz w:val="22"/>
          <w:szCs w:val="22"/>
        </w:rPr>
        <w:t> :</w:t>
      </w:r>
    </w:p>
    <w:p w:rsidR="00A94B6B" w:rsidRDefault="00A94B6B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ne devez pénétrer dans ces zones que sous </w:t>
      </w:r>
      <w:r>
        <w:rPr>
          <w:rFonts w:ascii="Arial" w:hAnsi="Arial" w:cs="Arial"/>
          <w:b/>
          <w:bCs/>
          <w:color w:val="FF0000"/>
          <w:sz w:val="22"/>
          <w:szCs w:val="22"/>
        </w:rPr>
        <w:t>l’autorisation de la personne compétente en radioprotection.</w:t>
      </w:r>
    </w:p>
    <w:p w:rsidR="009F0D91" w:rsidRDefault="00866785">
      <w:pPr>
        <w:ind w:right="142"/>
        <w:jc w:val="both"/>
        <w:rPr>
          <w:rFonts w:ascii="Arial" w:hAnsi="Arial" w:cs="Arial"/>
          <w:bCs/>
          <w:sz w:val="22"/>
          <w:szCs w:val="22"/>
        </w:rPr>
      </w:pPr>
      <w:r w:rsidRPr="00866785">
        <w:rPr>
          <w:rFonts w:ascii="Arial" w:hAnsi="Arial" w:cs="Arial"/>
          <w:bCs/>
          <w:sz w:val="22"/>
          <w:szCs w:val="22"/>
        </w:rPr>
        <w:t>Les générateurs de rayons X et accélérateurs possèdent</w:t>
      </w:r>
      <w:r>
        <w:rPr>
          <w:rFonts w:ascii="Arial" w:hAnsi="Arial" w:cs="Arial"/>
          <w:b/>
          <w:sz w:val="22"/>
          <w:szCs w:val="22"/>
        </w:rPr>
        <w:t xml:space="preserve"> des signalisations lumineuses </w:t>
      </w:r>
      <w:r w:rsidRPr="00866785">
        <w:rPr>
          <w:rFonts w:ascii="Arial" w:hAnsi="Arial" w:cs="Arial"/>
          <w:bCs/>
          <w:sz w:val="22"/>
          <w:szCs w:val="22"/>
        </w:rPr>
        <w:t xml:space="preserve">indiquant la présence effective de rayonnements ionisants. </w:t>
      </w:r>
    </w:p>
    <w:p w:rsidR="009F0D91" w:rsidRDefault="009F0D91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:rsidR="007C6E48" w:rsidRDefault="007C6E48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99"/>
        <w:tblLook w:val="01E0"/>
      </w:tblPr>
      <w:tblGrid>
        <w:gridCol w:w="11268"/>
      </w:tblGrid>
      <w:tr w:rsidR="009F0D91">
        <w:tc>
          <w:tcPr>
            <w:tcW w:w="11268" w:type="dxa"/>
            <w:shd w:val="clear" w:color="auto" w:fill="FFFF99"/>
          </w:tcPr>
          <w:p w:rsidR="009F0D91" w:rsidRDefault="009F0D9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Radioprotection</w:t>
            </w:r>
          </w:p>
        </w:tc>
      </w:tr>
    </w:tbl>
    <w:p w:rsidR="009F0D91" w:rsidRDefault="009F0D91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:rsidR="009F0D91" w:rsidRDefault="009F0D91" w:rsidP="00FC5EE8">
      <w:p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Consignes de radioprotection : </w:t>
      </w:r>
      <w:r>
        <w:rPr>
          <w:rFonts w:ascii="Arial" w:hAnsi="Arial" w:cs="Arial"/>
          <w:sz w:val="22"/>
          <w:szCs w:val="22"/>
        </w:rPr>
        <w:t xml:space="preserve">Dans chaque local à risque d’exposition à des rayonnements ionisants les </w:t>
      </w:r>
      <w:r w:rsidR="00866785">
        <w:rPr>
          <w:rFonts w:ascii="Arial" w:hAnsi="Arial" w:cs="Arial"/>
          <w:sz w:val="22"/>
          <w:szCs w:val="22"/>
        </w:rPr>
        <w:t xml:space="preserve">consignes de sécurité </w:t>
      </w:r>
      <w:r w:rsidR="004073E3">
        <w:rPr>
          <w:rFonts w:ascii="Arial" w:hAnsi="Arial" w:cs="Arial"/>
          <w:sz w:val="22"/>
          <w:szCs w:val="22"/>
        </w:rPr>
        <w:t xml:space="preserve">sont affichées. De plus, un cahier de manip permet de tracer l’utilisation des générateurs de rayonnements ionisants. </w:t>
      </w:r>
    </w:p>
    <w:p w:rsidR="009F0D91" w:rsidRDefault="009F0D91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Consigne d’accès</w:t>
      </w:r>
    </w:p>
    <w:p w:rsidR="009F0D91" w:rsidRDefault="009F0D91" w:rsidP="00FC5EE8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Sont autorisé</w:t>
      </w:r>
      <w:r w:rsidR="00FC5EE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à manipuler les générateurs de </w:t>
      </w:r>
      <w:r w:rsidR="00FC5EE8">
        <w:rPr>
          <w:rFonts w:ascii="Arial" w:hAnsi="Arial" w:cs="Arial"/>
          <w:sz w:val="22"/>
          <w:szCs w:val="22"/>
        </w:rPr>
        <w:t xml:space="preserve">rayonnements ionisants </w:t>
      </w:r>
      <w:r>
        <w:rPr>
          <w:rFonts w:ascii="Arial" w:hAnsi="Arial" w:cs="Arial"/>
          <w:sz w:val="22"/>
          <w:szCs w:val="22"/>
        </w:rPr>
        <w:t xml:space="preserve">les personnes </w:t>
      </w:r>
      <w:r w:rsidR="00FC5EE8">
        <w:rPr>
          <w:rFonts w:ascii="Arial" w:hAnsi="Arial" w:cs="Arial"/>
          <w:sz w:val="22"/>
          <w:szCs w:val="22"/>
        </w:rPr>
        <w:t xml:space="preserve">formées à la radioprotection et disposant d’un certificat médical à jour. </w:t>
      </w:r>
    </w:p>
    <w:p w:rsidR="009F0D91" w:rsidRDefault="00FC5EE8" w:rsidP="00FC5EE8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entrées des bâtiments</w:t>
      </w:r>
      <w:r w:rsidR="009F0D91">
        <w:rPr>
          <w:rFonts w:ascii="Arial" w:hAnsi="Arial" w:cs="Arial"/>
          <w:sz w:val="22"/>
          <w:szCs w:val="22"/>
        </w:rPr>
        <w:t xml:space="preserve"> sont munies </w:t>
      </w:r>
      <w:r>
        <w:rPr>
          <w:rFonts w:ascii="Arial" w:hAnsi="Arial" w:cs="Arial"/>
          <w:sz w:val="22"/>
          <w:szCs w:val="22"/>
        </w:rPr>
        <w:t>de</w:t>
      </w:r>
      <w:r w:rsidR="009F0D91">
        <w:rPr>
          <w:rFonts w:ascii="Arial" w:hAnsi="Arial" w:cs="Arial"/>
          <w:sz w:val="22"/>
          <w:szCs w:val="22"/>
        </w:rPr>
        <w:t xml:space="preserve"> lecteur</w:t>
      </w:r>
      <w:r>
        <w:rPr>
          <w:rFonts w:ascii="Arial" w:hAnsi="Arial" w:cs="Arial"/>
          <w:sz w:val="22"/>
          <w:szCs w:val="22"/>
        </w:rPr>
        <w:t>s</w:t>
      </w:r>
      <w:r w:rsidR="009F0D91">
        <w:rPr>
          <w:rFonts w:ascii="Arial" w:hAnsi="Arial" w:cs="Arial"/>
          <w:sz w:val="22"/>
          <w:szCs w:val="22"/>
        </w:rPr>
        <w:t xml:space="preserve"> de badge, le badge ne doit être en aucun cas prêté à des personnes étrangères au laboratoire</w:t>
      </w:r>
    </w:p>
    <w:p w:rsidR="009F0D91" w:rsidRDefault="009F0D91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L’accès aux salles signalé par un trisecteur est conditionné par l’ouverture d’une serrure (code ou clés)</w:t>
      </w:r>
      <w:r w:rsidR="00FC5EE8">
        <w:rPr>
          <w:rFonts w:ascii="Arial" w:hAnsi="Arial" w:cs="Arial"/>
          <w:sz w:val="22"/>
          <w:szCs w:val="22"/>
        </w:rPr>
        <w:t xml:space="preserve"> ou d’un badge</w:t>
      </w:r>
      <w:r>
        <w:rPr>
          <w:rFonts w:ascii="Arial" w:hAnsi="Arial" w:cs="Arial"/>
          <w:sz w:val="22"/>
          <w:szCs w:val="22"/>
        </w:rPr>
        <w:t>. Il faut impérativement fermer la porte du local à clé dès qu’aucune des personnes habilitées à travailler dans ces pièces n’est présente</w:t>
      </w:r>
    </w:p>
    <w:p w:rsidR="009F0D91" w:rsidRDefault="004073E3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Lorsque les générateurs de rayonnements ionisants possèdent des clés, celles-ci doivent être retirées si aucune personne habilitée n’est présente</w:t>
      </w:r>
      <w:r w:rsidR="009F0D91">
        <w:rPr>
          <w:rFonts w:ascii="Arial" w:hAnsi="Arial" w:cs="Arial"/>
          <w:sz w:val="22"/>
          <w:szCs w:val="22"/>
        </w:rPr>
        <w:t xml:space="preserve">. </w:t>
      </w:r>
    </w:p>
    <w:p w:rsidR="00A94B6B" w:rsidRDefault="00A94B6B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Consignes en cas d’incidents/accidents</w:t>
      </w:r>
    </w:p>
    <w:p w:rsidR="009F0D91" w:rsidRDefault="009F0D91" w:rsidP="00FC5EE8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 d’exposition externe involontaire : Prévenir la PCR au </w:t>
      </w:r>
      <w:r w:rsidR="004073E3">
        <w:rPr>
          <w:rFonts w:ascii="Arial" w:hAnsi="Arial" w:cs="Arial"/>
          <w:sz w:val="22"/>
          <w:szCs w:val="22"/>
        </w:rPr>
        <w:t>4509</w:t>
      </w:r>
      <w:r>
        <w:rPr>
          <w:rFonts w:ascii="Arial" w:hAnsi="Arial" w:cs="Arial"/>
          <w:sz w:val="22"/>
          <w:szCs w:val="22"/>
        </w:rPr>
        <w:t xml:space="preserve"> </w:t>
      </w:r>
    </w:p>
    <w:p w:rsidR="009F0D91" w:rsidRDefault="009F0D91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 d’accident de personnes : </w:t>
      </w:r>
      <w:r>
        <w:rPr>
          <w:rFonts w:ascii="Arial" w:hAnsi="Arial" w:cs="Arial"/>
          <w:sz w:val="22"/>
          <w:szCs w:val="22"/>
        </w:rPr>
        <w:tab/>
        <w:t xml:space="preserve">Protéger l’accidenté et appeler le 15 </w:t>
      </w:r>
      <w:r w:rsidR="004073E3">
        <w:rPr>
          <w:rFonts w:ascii="Arial" w:hAnsi="Arial" w:cs="Arial"/>
          <w:sz w:val="22"/>
          <w:szCs w:val="22"/>
        </w:rPr>
        <w:t>(SAMU)</w:t>
      </w:r>
    </w:p>
    <w:p w:rsidR="009F0D91" w:rsidRDefault="009F0D91" w:rsidP="00FC5EE8">
      <w:pPr>
        <w:ind w:left="4248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Prévenir les sauveteurs secouristes </w:t>
      </w:r>
    </w:p>
    <w:p w:rsidR="00AB0E78" w:rsidRDefault="007C6E48" w:rsidP="00AB0E78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F0D91">
        <w:rPr>
          <w:rFonts w:ascii="Arial" w:hAnsi="Arial" w:cs="Arial"/>
          <w:sz w:val="22"/>
          <w:szCs w:val="22"/>
        </w:rPr>
        <w:t xml:space="preserve">n cas d’incendie ou d’inondation : Appeler le </w:t>
      </w:r>
      <w:r w:rsidR="004073E3">
        <w:rPr>
          <w:rFonts w:ascii="Arial" w:hAnsi="Arial" w:cs="Arial"/>
          <w:sz w:val="22"/>
          <w:szCs w:val="22"/>
        </w:rPr>
        <w:t>18</w:t>
      </w:r>
      <w:r w:rsidR="009F0D91">
        <w:rPr>
          <w:rFonts w:ascii="Arial" w:hAnsi="Arial" w:cs="Arial"/>
          <w:sz w:val="22"/>
          <w:szCs w:val="22"/>
        </w:rPr>
        <w:t xml:space="preserve"> et préciser la présence </w:t>
      </w:r>
      <w:r>
        <w:rPr>
          <w:rFonts w:ascii="Arial" w:hAnsi="Arial" w:cs="Arial"/>
          <w:sz w:val="22"/>
          <w:szCs w:val="22"/>
        </w:rPr>
        <w:t>d’appareil</w:t>
      </w:r>
      <w:r w:rsidR="00FC5EE8">
        <w:rPr>
          <w:rFonts w:ascii="Arial" w:hAnsi="Arial" w:cs="Arial"/>
          <w:sz w:val="22"/>
          <w:szCs w:val="22"/>
        </w:rPr>
        <w:t xml:space="preserve"> émettant des rayonnements ionisants</w:t>
      </w:r>
    </w:p>
    <w:p w:rsidR="00AB0E78" w:rsidRPr="00AB0E78" w:rsidRDefault="00AB0E78" w:rsidP="00AB0E78">
      <w:p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Dans la mesure du possible, mettre à l’arrêt les générateurs de rayonnements ionisants. </w:t>
      </w:r>
    </w:p>
    <w:p w:rsidR="009F0D91" w:rsidRDefault="00AB0E78" w:rsidP="00AB0E78">
      <w:pPr>
        <w:pStyle w:val="Paragraphedeliste"/>
        <w:numPr>
          <w:ilvl w:val="0"/>
          <w:numId w:val="11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 incident/accident doit être signalé sans délai au directeur du CIMAP. </w:t>
      </w:r>
    </w:p>
    <w:p w:rsidR="00AB0E78" w:rsidRPr="00AB0E78" w:rsidRDefault="00AB0E78" w:rsidP="00AB0E78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Consignes d’utilisation des générateurs de rayons X</w:t>
      </w:r>
      <w:r w:rsidR="00FC5EE8">
        <w:rPr>
          <w:rFonts w:ascii="Arial" w:hAnsi="Arial" w:cs="Arial"/>
          <w:b/>
          <w:sz w:val="22"/>
          <w:szCs w:val="22"/>
        </w:rPr>
        <w:t xml:space="preserve"> et accélérateurs</w:t>
      </w:r>
    </w:p>
    <w:p w:rsidR="009F0D91" w:rsidRDefault="009F0D91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démontage du blindage est interdit sans l’autorisation de </w:t>
      </w:r>
      <w:smartTag w:uri="urn:schemas-microsoft-com:office:smarttags" w:element="PersonName">
        <w:smartTagPr>
          <w:attr w:name="ProductID" w:val="la PCR"/>
        </w:smartTagPr>
        <w:r>
          <w:rPr>
            <w:rFonts w:ascii="Arial" w:hAnsi="Arial" w:cs="Arial"/>
            <w:sz w:val="22"/>
            <w:szCs w:val="22"/>
          </w:rPr>
          <w:t>la PCR</w:t>
        </w:r>
      </w:smartTag>
    </w:p>
    <w:p w:rsidR="009F0D91" w:rsidRDefault="009F0D91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démontage du blindage est interdit en fonctionnement</w:t>
      </w:r>
    </w:p>
    <w:p w:rsidR="009F0D91" w:rsidRDefault="009F0D91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 changement de paramètre doit faire l’objet d’une demande préalable à </w:t>
      </w:r>
      <w:smartTag w:uri="urn:schemas-microsoft-com:office:smarttags" w:element="PersonName">
        <w:smartTagPr>
          <w:attr w:name="ProductID" w:val="la PCR"/>
        </w:smartTagPr>
        <w:r>
          <w:rPr>
            <w:rFonts w:ascii="Arial" w:hAnsi="Arial" w:cs="Arial"/>
            <w:sz w:val="22"/>
            <w:szCs w:val="22"/>
          </w:rPr>
          <w:t>la PCR</w:t>
        </w:r>
      </w:smartTag>
      <w:r>
        <w:rPr>
          <w:rFonts w:ascii="Arial" w:hAnsi="Arial" w:cs="Arial"/>
          <w:sz w:val="22"/>
          <w:szCs w:val="22"/>
        </w:rPr>
        <w:t xml:space="preserve"> qui procèdera </w:t>
      </w:r>
      <w:r w:rsidR="0094404B">
        <w:rPr>
          <w:rFonts w:ascii="Arial" w:hAnsi="Arial" w:cs="Arial"/>
          <w:sz w:val="22"/>
          <w:szCs w:val="22"/>
        </w:rPr>
        <w:t>aux contrôles radiologiques</w:t>
      </w:r>
    </w:p>
    <w:p w:rsidR="009F0D91" w:rsidRDefault="009F0D91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7C6E48" w:rsidRDefault="007C6E48">
      <w:pPr>
        <w:ind w:right="142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7"/>
        <w:tblW w:w="109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99"/>
        <w:tblLook w:val="01E0"/>
      </w:tblPr>
      <w:tblGrid>
        <w:gridCol w:w="10932"/>
      </w:tblGrid>
      <w:tr w:rsidR="00AB0E78" w:rsidTr="00AB0E78">
        <w:trPr>
          <w:trHeight w:val="232"/>
        </w:trPr>
        <w:tc>
          <w:tcPr>
            <w:tcW w:w="10932" w:type="dxa"/>
            <w:shd w:val="clear" w:color="auto" w:fill="FFFF99"/>
          </w:tcPr>
          <w:p w:rsidR="00AB0E78" w:rsidRDefault="00AB0E78" w:rsidP="00AB0E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N° d’urgence</w:t>
            </w:r>
          </w:p>
        </w:tc>
      </w:tr>
    </w:tbl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ASN</w:t>
      </w:r>
      <w:r>
        <w:rPr>
          <w:rFonts w:ascii="Arial" w:hAnsi="Arial" w:cs="Arial"/>
          <w:sz w:val="22"/>
          <w:szCs w:val="22"/>
        </w:rPr>
        <w:t xml:space="preserve"> (Autorité de Sûreté Nucléaire) : Autorité indépendante qui instruit les dossiers d’autorisation et réalise le contrôle des installations (inspection).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IRSN</w:t>
      </w:r>
      <w:r>
        <w:rPr>
          <w:rFonts w:ascii="Arial" w:hAnsi="Arial" w:cs="Arial"/>
          <w:sz w:val="22"/>
          <w:szCs w:val="22"/>
        </w:rPr>
        <w:t xml:space="preserve"> (Institut de Radioprotection et de Sûreté Nucléaire) : Institut qui appui les actions de l’ASN en tant que support technique. </w:t>
      </w:r>
    </w:p>
    <w:p w:rsidR="009F0D91" w:rsidRDefault="009F0D91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648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4"/>
        <w:gridCol w:w="3557"/>
        <w:gridCol w:w="4097"/>
      </w:tblGrid>
      <w:tr w:rsidR="00A94B6B" w:rsidTr="00A94B6B">
        <w:tc>
          <w:tcPr>
            <w:tcW w:w="2894" w:type="dxa"/>
          </w:tcPr>
          <w:p w:rsidR="00A94B6B" w:rsidRDefault="00A94B6B" w:rsidP="00EB521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les PCR 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Q.LEGRAND</w:t>
            </w:r>
          </w:p>
        </w:tc>
        <w:tc>
          <w:tcPr>
            <w:tcW w:w="3557" w:type="dxa"/>
          </w:tcPr>
          <w:p w:rsidR="00A94B6B" w:rsidRDefault="007C6E48" w:rsidP="00A94B6B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CIMAP-GANIL BCI Pièce 12</w:t>
            </w:r>
          </w:p>
        </w:tc>
        <w:tc>
          <w:tcPr>
            <w:tcW w:w="4097" w:type="dxa"/>
          </w:tcPr>
          <w:p w:rsidR="00A94B6B" w:rsidRDefault="00A94B6B" w:rsidP="00A94B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4509</w:t>
            </w:r>
          </w:p>
        </w:tc>
      </w:tr>
      <w:tr w:rsidR="00A94B6B" w:rsidTr="00A94B6B">
        <w:tc>
          <w:tcPr>
            <w:tcW w:w="2894" w:type="dxa"/>
          </w:tcPr>
          <w:p w:rsidR="00A94B6B" w:rsidRDefault="00A94B6B" w:rsidP="00A94B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Le service médical</w:t>
            </w:r>
          </w:p>
        </w:tc>
        <w:tc>
          <w:tcPr>
            <w:tcW w:w="3557" w:type="dxa"/>
          </w:tcPr>
          <w:p w:rsidR="00A94B6B" w:rsidRDefault="00A94B6B" w:rsidP="00A94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UCBN Campus 1</w:t>
            </w:r>
          </w:p>
        </w:tc>
        <w:tc>
          <w:tcPr>
            <w:tcW w:w="4097" w:type="dxa"/>
          </w:tcPr>
          <w:p w:rsidR="00A94B6B" w:rsidRDefault="00A94B6B" w:rsidP="00A94B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02.31.56.56.79</w:t>
            </w:r>
          </w:p>
        </w:tc>
      </w:tr>
      <w:tr w:rsidR="00A94B6B" w:rsidTr="00A94B6B">
        <w:tc>
          <w:tcPr>
            <w:tcW w:w="2894" w:type="dxa"/>
          </w:tcPr>
          <w:p w:rsidR="00A94B6B" w:rsidRDefault="00A94B6B" w:rsidP="00A94B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l’IRSN</w:t>
            </w:r>
          </w:p>
        </w:tc>
        <w:tc>
          <w:tcPr>
            <w:tcW w:w="3557" w:type="dxa"/>
          </w:tcPr>
          <w:p w:rsidR="00A94B6B" w:rsidRDefault="00A94B6B" w:rsidP="00A94B6B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BP 17 -92262 Fontenay au Roses</w:t>
            </w:r>
          </w:p>
        </w:tc>
        <w:tc>
          <w:tcPr>
            <w:tcW w:w="4097" w:type="dxa"/>
          </w:tcPr>
          <w:p w:rsidR="00A94B6B" w:rsidRDefault="00A94B6B" w:rsidP="00A94B6B">
            <w:pPr>
              <w:ind w:left="57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Tel 06.07.31.56.63 </w:t>
            </w:r>
          </w:p>
          <w:p w:rsidR="00A94B6B" w:rsidRDefault="00A94B6B" w:rsidP="00A94B6B">
            <w:pPr>
              <w:ind w:left="57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(ou en secours 01.45.54.76.02 ou 03)</w:t>
            </w:r>
          </w:p>
        </w:tc>
      </w:tr>
      <w:tr w:rsidR="00A94B6B" w:rsidTr="00A94B6B">
        <w:tc>
          <w:tcPr>
            <w:tcW w:w="2894" w:type="dxa"/>
          </w:tcPr>
          <w:p w:rsidR="00A94B6B" w:rsidRDefault="00A94B6B" w:rsidP="00A94B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L’ASN/Caen </w:t>
            </w:r>
          </w:p>
        </w:tc>
        <w:tc>
          <w:tcPr>
            <w:tcW w:w="3557" w:type="dxa"/>
          </w:tcPr>
          <w:p w:rsidR="00A94B6B" w:rsidRPr="00A700A2" w:rsidRDefault="00A94B6B" w:rsidP="00A94B6B">
            <w:pPr>
              <w:rPr>
                <w:rFonts w:ascii="Arial" w:hAnsi="Arial" w:cs="Arial"/>
                <w:sz w:val="22"/>
                <w:szCs w:val="22"/>
              </w:rPr>
            </w:pPr>
            <w:r w:rsidRPr="00A700A2">
              <w:rPr>
                <w:rFonts w:ascii="Arial" w:hAnsi="Arial" w:cs="Arial"/>
                <w:sz w:val="22"/>
                <w:szCs w:val="22"/>
              </w:rPr>
              <w:t xml:space="preserve">CITIS « Le pentacle » </w:t>
            </w:r>
            <w:r w:rsidRPr="00A700A2">
              <w:rPr>
                <w:rFonts w:ascii="Arial" w:hAnsi="Arial" w:cs="Arial"/>
                <w:sz w:val="22"/>
                <w:szCs w:val="22"/>
              </w:rPr>
              <w:br/>
              <w:t xml:space="preserve">Av de </w:t>
            </w:r>
            <w:proofErr w:type="spellStart"/>
            <w:r w:rsidRPr="00A700A2">
              <w:rPr>
                <w:rFonts w:ascii="Arial" w:hAnsi="Arial" w:cs="Arial"/>
                <w:sz w:val="22"/>
                <w:szCs w:val="22"/>
              </w:rPr>
              <w:t>Tsukuba</w:t>
            </w:r>
            <w:proofErr w:type="spellEnd"/>
            <w:r w:rsidRPr="00A700A2">
              <w:rPr>
                <w:rFonts w:ascii="Arial" w:hAnsi="Arial" w:cs="Arial"/>
                <w:sz w:val="22"/>
                <w:szCs w:val="22"/>
              </w:rPr>
              <w:br/>
              <w:t xml:space="preserve">14209 </w:t>
            </w:r>
            <w:proofErr w:type="spellStart"/>
            <w:r w:rsidRPr="00A700A2">
              <w:rPr>
                <w:rFonts w:ascii="Arial" w:hAnsi="Arial" w:cs="Arial"/>
                <w:sz w:val="22"/>
                <w:szCs w:val="22"/>
              </w:rPr>
              <w:t>Hérouville</w:t>
            </w:r>
            <w:proofErr w:type="spellEnd"/>
            <w:r w:rsidRPr="00A700A2">
              <w:rPr>
                <w:rFonts w:ascii="Arial" w:hAnsi="Arial" w:cs="Arial"/>
                <w:sz w:val="22"/>
                <w:szCs w:val="22"/>
              </w:rPr>
              <w:t xml:space="preserve"> Saint-Clair</w:t>
            </w:r>
          </w:p>
        </w:tc>
        <w:tc>
          <w:tcPr>
            <w:tcW w:w="4097" w:type="dxa"/>
          </w:tcPr>
          <w:p w:rsidR="00A94B6B" w:rsidRDefault="00A94B6B" w:rsidP="00A94B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Tel : 08.00.80.41.35 ou 0</w:t>
            </w:r>
            <w:r w:rsidRPr="00A94B6B">
              <w:rPr>
                <w:rFonts w:ascii="Arial" w:hAnsi="Arial" w:cs="Arial"/>
                <w:color w:val="FF0000"/>
                <w:sz w:val="22"/>
                <w:szCs w:val="22"/>
              </w:rPr>
              <w:t>2 31 46 50 42</w:t>
            </w:r>
          </w:p>
          <w:p w:rsidR="00A94B6B" w:rsidRDefault="00A94B6B" w:rsidP="00A94B6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Fax </w:t>
            </w:r>
            <w:r w:rsidRPr="00A94B6B">
              <w:rPr>
                <w:rFonts w:ascii="Arial" w:hAnsi="Arial" w:cs="Arial"/>
                <w:color w:val="FF0000"/>
                <w:sz w:val="22"/>
                <w:szCs w:val="22"/>
              </w:rPr>
              <w:t>02 31 46 50 43</w:t>
            </w:r>
          </w:p>
        </w:tc>
      </w:tr>
    </w:tbl>
    <w:p w:rsidR="00AB0E78" w:rsidRDefault="00AB0E78">
      <w:pPr>
        <w:jc w:val="both"/>
        <w:rPr>
          <w:rFonts w:ascii="Arial" w:hAnsi="Arial" w:cs="Arial"/>
          <w:sz w:val="22"/>
          <w:szCs w:val="22"/>
        </w:rPr>
      </w:pPr>
    </w:p>
    <w:p w:rsidR="00AB0E78" w:rsidRDefault="00AB0E78">
      <w:pPr>
        <w:jc w:val="both"/>
        <w:rPr>
          <w:rFonts w:ascii="Arial" w:hAnsi="Arial" w:cs="Arial"/>
          <w:sz w:val="22"/>
          <w:szCs w:val="22"/>
        </w:rPr>
      </w:pPr>
    </w:p>
    <w:p w:rsidR="00AB0E78" w:rsidRDefault="00AB0E78">
      <w:pPr>
        <w:jc w:val="both"/>
        <w:rPr>
          <w:rFonts w:ascii="Arial" w:hAnsi="Arial" w:cs="Arial"/>
          <w:sz w:val="22"/>
          <w:szCs w:val="22"/>
        </w:rPr>
      </w:pPr>
    </w:p>
    <w:p w:rsidR="00AB0E78" w:rsidRDefault="00AB0E78">
      <w:pPr>
        <w:jc w:val="both"/>
        <w:rPr>
          <w:rFonts w:ascii="Arial" w:hAnsi="Arial" w:cs="Arial"/>
          <w:sz w:val="22"/>
          <w:szCs w:val="22"/>
        </w:rPr>
      </w:pPr>
    </w:p>
    <w:p w:rsidR="00AB0E78" w:rsidRDefault="00AB0E78">
      <w:pPr>
        <w:jc w:val="both"/>
        <w:rPr>
          <w:rFonts w:ascii="Arial" w:hAnsi="Arial" w:cs="Arial"/>
          <w:sz w:val="22"/>
          <w:szCs w:val="22"/>
        </w:rPr>
      </w:pPr>
    </w:p>
    <w:p w:rsidR="00AB0E78" w:rsidRDefault="00AB0E78">
      <w:pPr>
        <w:jc w:val="both"/>
        <w:rPr>
          <w:rFonts w:ascii="Arial" w:hAnsi="Arial" w:cs="Arial"/>
          <w:sz w:val="22"/>
          <w:szCs w:val="22"/>
        </w:rPr>
      </w:pPr>
    </w:p>
    <w:p w:rsidR="00AB0E78" w:rsidRDefault="00AB0E78">
      <w:pPr>
        <w:jc w:val="both"/>
        <w:rPr>
          <w:rFonts w:ascii="Arial" w:hAnsi="Arial" w:cs="Arial"/>
          <w:sz w:val="22"/>
          <w:szCs w:val="22"/>
        </w:rPr>
      </w:pPr>
    </w:p>
    <w:p w:rsidR="00AB0E78" w:rsidRDefault="00AB0E78">
      <w:pPr>
        <w:jc w:val="both"/>
        <w:rPr>
          <w:rFonts w:ascii="Arial" w:hAnsi="Arial" w:cs="Arial"/>
          <w:sz w:val="22"/>
          <w:szCs w:val="22"/>
        </w:rPr>
      </w:pPr>
    </w:p>
    <w:p w:rsidR="00AB0E78" w:rsidRDefault="00AB0E78">
      <w:pPr>
        <w:jc w:val="both"/>
        <w:rPr>
          <w:rFonts w:ascii="Arial" w:hAnsi="Arial" w:cs="Arial"/>
          <w:sz w:val="22"/>
          <w:szCs w:val="22"/>
        </w:rPr>
      </w:pPr>
    </w:p>
    <w:p w:rsidR="00AB0E78" w:rsidRDefault="00AB0E78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55"/>
        <w:tblW w:w="109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99"/>
        <w:tblLook w:val="01E0"/>
      </w:tblPr>
      <w:tblGrid>
        <w:gridCol w:w="10932"/>
      </w:tblGrid>
      <w:tr w:rsidR="009F0D91" w:rsidTr="00FC5EE8">
        <w:trPr>
          <w:trHeight w:val="232"/>
        </w:trPr>
        <w:tc>
          <w:tcPr>
            <w:tcW w:w="10932" w:type="dxa"/>
            <w:shd w:val="clear" w:color="auto" w:fill="FFFF99"/>
          </w:tcPr>
          <w:p w:rsidR="009F0D91" w:rsidRDefault="009F0D91" w:rsidP="00AB0E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Documentation sécurité</w:t>
            </w:r>
          </w:p>
        </w:tc>
      </w:tr>
    </w:tbl>
    <w:p w:rsidR="00A94B6B" w:rsidRPr="00A94B6B" w:rsidRDefault="00A94B6B" w:rsidP="00A94B6B">
      <w:pPr>
        <w:jc w:val="both"/>
        <w:rPr>
          <w:rFonts w:ascii="Arial" w:hAnsi="Arial"/>
          <w:color w:val="000000"/>
          <w:sz w:val="22"/>
          <w:szCs w:val="22"/>
        </w:rPr>
      </w:pPr>
    </w:p>
    <w:p w:rsidR="009F0D91" w:rsidRDefault="009F0D91">
      <w:pPr>
        <w:numPr>
          <w:ilvl w:val="0"/>
          <w:numId w:val="3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Intranet partie « </w:t>
      </w:r>
      <w:r w:rsidR="00AB0E78">
        <w:rPr>
          <w:rFonts w:ascii="Arial" w:hAnsi="Arial"/>
          <w:sz w:val="22"/>
          <w:szCs w:val="22"/>
        </w:rPr>
        <w:t>Sécurité</w:t>
      </w:r>
      <w:r>
        <w:rPr>
          <w:rFonts w:ascii="Arial" w:hAnsi="Arial"/>
          <w:sz w:val="22"/>
          <w:szCs w:val="22"/>
        </w:rPr>
        <w:t> »</w:t>
      </w:r>
    </w:p>
    <w:p w:rsidR="009F0D91" w:rsidRDefault="009F0D9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Toute documentation hygiène, sécurité et environnement disponible au bureau de Q.Legrand (ingénieur H&amp;S)</w:t>
      </w:r>
    </w:p>
    <w:sectPr w:rsidR="009F0D91" w:rsidSect="00A94B6B">
      <w:pgSz w:w="12240" w:h="15840"/>
      <w:pgMar w:top="454" w:right="454" w:bottom="454" w:left="4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A2" w:rsidRDefault="00A700A2" w:rsidP="00051536">
      <w:r>
        <w:separator/>
      </w:r>
    </w:p>
  </w:endnote>
  <w:endnote w:type="continuationSeparator" w:id="0">
    <w:p w:rsidR="00A700A2" w:rsidRDefault="00A700A2" w:rsidP="0005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A2" w:rsidRDefault="00A700A2" w:rsidP="00051536">
      <w:r>
        <w:separator/>
      </w:r>
    </w:p>
  </w:footnote>
  <w:footnote w:type="continuationSeparator" w:id="0">
    <w:p w:rsidR="00A700A2" w:rsidRDefault="00A700A2" w:rsidP="00051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CAC"/>
    <w:multiLevelType w:val="hybridMultilevel"/>
    <w:tmpl w:val="877E5658"/>
    <w:lvl w:ilvl="0" w:tplc="D744D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E2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88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D86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AB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6F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89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5CA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EF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E157DA"/>
    <w:multiLevelType w:val="hybridMultilevel"/>
    <w:tmpl w:val="F98E5B56"/>
    <w:lvl w:ilvl="0" w:tplc="FCD660F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C7F4E"/>
    <w:multiLevelType w:val="hybridMultilevel"/>
    <w:tmpl w:val="43103FCA"/>
    <w:lvl w:ilvl="0" w:tplc="75A26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E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C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47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2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04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E0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07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06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6F6744"/>
    <w:multiLevelType w:val="multilevel"/>
    <w:tmpl w:val="A75885A4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37F914BF"/>
    <w:multiLevelType w:val="hybridMultilevel"/>
    <w:tmpl w:val="A63CE14C"/>
    <w:lvl w:ilvl="0" w:tplc="72128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614B67"/>
    <w:multiLevelType w:val="hybridMultilevel"/>
    <w:tmpl w:val="CB9E24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E074D2"/>
    <w:multiLevelType w:val="hybridMultilevel"/>
    <w:tmpl w:val="B74EA9F0"/>
    <w:lvl w:ilvl="0" w:tplc="F2901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A9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D0C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A1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87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03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8B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5E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2B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E6207B"/>
    <w:multiLevelType w:val="hybridMultilevel"/>
    <w:tmpl w:val="A75885A4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626A36DB"/>
    <w:multiLevelType w:val="hybridMultilevel"/>
    <w:tmpl w:val="58BC8DC2"/>
    <w:lvl w:ilvl="0" w:tplc="786892C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666D1F32"/>
    <w:multiLevelType w:val="hybridMultilevel"/>
    <w:tmpl w:val="77D0089A"/>
    <w:lvl w:ilvl="0" w:tplc="15548AF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92062"/>
    <w:multiLevelType w:val="hybridMultilevel"/>
    <w:tmpl w:val="CB40CD44"/>
    <w:lvl w:ilvl="0" w:tplc="4F98D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77D96"/>
    <w:rsid w:val="00013EB2"/>
    <w:rsid w:val="000403AA"/>
    <w:rsid w:val="00051536"/>
    <w:rsid w:val="0006495A"/>
    <w:rsid w:val="001A278D"/>
    <w:rsid w:val="00276F84"/>
    <w:rsid w:val="004073E3"/>
    <w:rsid w:val="005607F4"/>
    <w:rsid w:val="005F5C4E"/>
    <w:rsid w:val="00677D96"/>
    <w:rsid w:val="007638AD"/>
    <w:rsid w:val="007B6071"/>
    <w:rsid w:val="007C6E48"/>
    <w:rsid w:val="00866785"/>
    <w:rsid w:val="00925168"/>
    <w:rsid w:val="00925C1E"/>
    <w:rsid w:val="0094404B"/>
    <w:rsid w:val="00981E2D"/>
    <w:rsid w:val="009F0D91"/>
    <w:rsid w:val="00A700A2"/>
    <w:rsid w:val="00A94B6B"/>
    <w:rsid w:val="00AB0E78"/>
    <w:rsid w:val="00BB065A"/>
    <w:rsid w:val="00BE123C"/>
    <w:rsid w:val="00DA662B"/>
    <w:rsid w:val="00DB3AC8"/>
    <w:rsid w:val="00DC5D27"/>
    <w:rsid w:val="00E578F4"/>
    <w:rsid w:val="00EB5210"/>
    <w:rsid w:val="00FC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D27"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rsid w:val="00DC5D27"/>
    <w:pPr>
      <w:keepNext/>
      <w:ind w:left="1418" w:right="1418"/>
      <w:jc w:val="center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rsid w:val="00DC5D27"/>
    <w:pPr>
      <w:keepNext/>
      <w:shd w:val="pct5" w:color="auto" w:fill="auto"/>
      <w:ind w:left="3119" w:right="3119"/>
      <w:jc w:val="center"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15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51536"/>
    <w:rPr>
      <w:rFonts w:ascii="Times" w:hAnsi="Times"/>
      <w:sz w:val="24"/>
    </w:rPr>
  </w:style>
  <w:style w:type="paragraph" w:styleId="Pieddepage">
    <w:name w:val="footer"/>
    <w:basedOn w:val="Normal"/>
    <w:link w:val="PieddepageCar"/>
    <w:rsid w:val="000515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1536"/>
    <w:rPr>
      <w:rFonts w:ascii="Times" w:hAnsi="Times"/>
      <w:sz w:val="24"/>
    </w:rPr>
  </w:style>
  <w:style w:type="paragraph" w:styleId="Textedebulles">
    <w:name w:val="Balloon Text"/>
    <w:basedOn w:val="Normal"/>
    <w:link w:val="TextedebullesCar"/>
    <w:rsid w:val="000515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15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0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http://www.sdv.fr/aimt67/symboles/00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</vt:lpstr>
    </vt:vector>
  </TitlesOfParts>
  <Company>LAL</Company>
  <LinksUpToDate>false</LinksUpToDate>
  <CharactersWithSpaces>8343</CharactersWithSpaces>
  <SharedDoc>false</SharedDoc>
  <HLinks>
    <vt:vector size="6" baseType="variant">
      <vt:variant>
        <vt:i4>1572881</vt:i4>
      </vt:variant>
      <vt:variant>
        <vt:i4>-1</vt:i4>
      </vt:variant>
      <vt:variant>
        <vt:i4>1044</vt:i4>
      </vt:variant>
      <vt:variant>
        <vt:i4>1</vt:i4>
      </vt:variant>
      <vt:variant>
        <vt:lpwstr>http://www.sdv.fr/aimt67/symboles/002.jpg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</dc:title>
  <dc:creator>biron</dc:creator>
  <cp:lastModifiedBy>LEGRAND</cp:lastModifiedBy>
  <cp:revision>2</cp:revision>
  <cp:lastPrinted>2012-09-06T14:46:00Z</cp:lastPrinted>
  <dcterms:created xsi:type="dcterms:W3CDTF">2014-09-24T12:30:00Z</dcterms:created>
  <dcterms:modified xsi:type="dcterms:W3CDTF">2014-09-24T12:30:00Z</dcterms:modified>
</cp:coreProperties>
</file>