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F0" w:rsidRPr="00500CF0" w:rsidRDefault="001755F0">
      <w:pPr>
        <w:rPr>
          <w:b/>
        </w:rPr>
      </w:pPr>
      <w:r w:rsidRPr="00500CF0">
        <w:rPr>
          <w:b/>
        </w:rPr>
        <w:t xml:space="preserve">Vérification sécurité 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T</w:t>
      </w:r>
      <w:r w:rsidR="00712108">
        <w:t>outes les tresses de masse</w:t>
      </w:r>
      <w:r w:rsidR="001755F0">
        <w:t xml:space="preserve"> se rejoignent sur un plan/point de masse 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La baie de contrôle connectée à la masse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La vanne d’injection de gaz</w:t>
      </w:r>
      <w:r w:rsidR="00B2387F">
        <w:t xml:space="preserve"> connectée à la masse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Le capot de protection HT de la source</w:t>
      </w:r>
      <w:r w:rsidR="00B2387F">
        <w:t xml:space="preserve"> connectée à la masse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Le châssis de la source</w:t>
      </w:r>
      <w:r w:rsidR="00B2387F">
        <w:t xml:space="preserve"> connectée à la masse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Le coffret d’alimentation électrique</w:t>
      </w:r>
      <w:r w:rsidR="00B2387F">
        <w:t xml:space="preserve"> connectée à la masse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 xml:space="preserve">Les </w:t>
      </w:r>
      <w:proofErr w:type="spellStart"/>
      <w:r w:rsidR="001755F0">
        <w:t>bleeders</w:t>
      </w:r>
      <w:proofErr w:type="spellEnd"/>
      <w:r w:rsidR="00B2387F">
        <w:t xml:space="preserve"> connectées à la masse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Le mécanisme de « mise à la masse d’urgence »</w:t>
      </w:r>
      <w:r w:rsidR="00B2387F">
        <w:t xml:space="preserve"> est fermé</w:t>
      </w:r>
    </w:p>
    <w:p w:rsidR="001755F0" w:rsidRDefault="001755F0" w:rsidP="001755F0">
      <w:pPr>
        <w:pStyle w:val="Paragraphedeliste"/>
        <w:numPr>
          <w:ilvl w:val="0"/>
          <w:numId w:val="1"/>
        </w:numPr>
      </w:pPr>
      <w:r>
        <w:t xml:space="preserve"> </w:t>
      </w:r>
      <w:r w:rsidR="00500CF0">
        <w:sym w:font="Wingdings" w:char="F06F"/>
      </w:r>
      <w:r w:rsidR="00500CF0">
        <w:t xml:space="preserve"> </w:t>
      </w:r>
      <w:r>
        <w:t>Bon fonctionnement de la pompe primaire et de la pompe turbo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Circulation de l’eau de refroidissement de la turbo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 xml:space="preserve">Pression/Coffret de jauge </w:t>
      </w:r>
      <w:r w:rsidR="00457EC7">
        <w:t>reliée</w:t>
      </w:r>
      <w:r w:rsidR="001755F0">
        <w:t xml:space="preserve"> au coffret électrique par un DB9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Bon fonctionnement des ventilateurs de la source et du filtre de Wien</w:t>
      </w:r>
    </w:p>
    <w:p w:rsidR="001755F0" w:rsidRDefault="00500CF0" w:rsidP="001755F0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>Interlock du générateur HF</w:t>
      </w:r>
      <w:r w:rsidR="00B2387F">
        <w:t xml:space="preserve"> connecté</w:t>
      </w:r>
    </w:p>
    <w:p w:rsidR="00B24B6D" w:rsidRDefault="00500CF0" w:rsidP="00B24B6D">
      <w:pPr>
        <w:pStyle w:val="Paragraphedeliste"/>
        <w:numPr>
          <w:ilvl w:val="0"/>
          <w:numId w:val="1"/>
        </w:numPr>
      </w:pPr>
      <w:r>
        <w:sym w:font="Wingdings" w:char="F06F"/>
      </w:r>
      <w:r>
        <w:t xml:space="preserve"> </w:t>
      </w:r>
      <w:r w:rsidR="001755F0">
        <w:t xml:space="preserve">Interlock des alimentations HT connectés sur une prise DB9 commune </w:t>
      </w:r>
      <w:r w:rsidR="00B24B6D">
        <w:t>relié</w:t>
      </w:r>
      <w:r w:rsidR="001755F0">
        <w:t xml:space="preserve"> au coffret électrique</w:t>
      </w:r>
      <w:r w:rsidR="00B2387F">
        <w:t xml:space="preserve"> connecté</w:t>
      </w:r>
    </w:p>
    <w:p w:rsidR="00B24B6D" w:rsidRDefault="00B24B6D" w:rsidP="00B24B6D"/>
    <w:p w:rsidR="00B24B6D" w:rsidRPr="00500CF0" w:rsidRDefault="00B24B6D" w:rsidP="00B24B6D">
      <w:pPr>
        <w:rPr>
          <w:b/>
        </w:rPr>
      </w:pPr>
      <w:r w:rsidRPr="00500CF0">
        <w:rPr>
          <w:b/>
        </w:rPr>
        <w:t>Allumage</w:t>
      </w:r>
    </w:p>
    <w:p w:rsidR="00500CF0" w:rsidRDefault="00500CF0" w:rsidP="00500CF0">
      <w:pPr>
        <w:pStyle w:val="Paragraphedeliste"/>
        <w:numPr>
          <w:ilvl w:val="0"/>
          <w:numId w:val="2"/>
        </w:numPr>
      </w:pPr>
      <w:r>
        <w:sym w:font="Wingdings" w:char="F06F"/>
      </w:r>
      <w:r>
        <w:t xml:space="preserve"> Condamner l’accès HT avec la chaine </w:t>
      </w:r>
    </w:p>
    <w:p w:rsidR="00B24B6D" w:rsidRDefault="00500CF0" w:rsidP="00B24B6D">
      <w:pPr>
        <w:pStyle w:val="Paragraphedeliste"/>
        <w:numPr>
          <w:ilvl w:val="0"/>
          <w:numId w:val="2"/>
        </w:numPr>
      </w:pPr>
      <w:r>
        <w:sym w:font="Wingdings" w:char="F06F"/>
      </w:r>
      <w:r>
        <w:t xml:space="preserve"> </w:t>
      </w:r>
      <w:r w:rsidR="00B24B6D">
        <w:t>Vérifier la lumière verte au dessus du capot</w:t>
      </w:r>
    </w:p>
    <w:p w:rsidR="00B24B6D" w:rsidRDefault="00500CF0" w:rsidP="00B24B6D">
      <w:pPr>
        <w:pStyle w:val="Paragraphedeliste"/>
        <w:numPr>
          <w:ilvl w:val="0"/>
          <w:numId w:val="2"/>
        </w:numPr>
      </w:pPr>
      <w:r>
        <w:sym w:font="Wingdings" w:char="F06F"/>
      </w:r>
      <w:r>
        <w:t xml:space="preserve"> Sur le coffret électrique t</w:t>
      </w:r>
      <w:r w:rsidR="00B24B6D">
        <w:t>ourner la clé et appuyer sur MAHT</w:t>
      </w:r>
    </w:p>
    <w:p w:rsidR="00B24B6D" w:rsidRDefault="00500CF0" w:rsidP="00B24B6D">
      <w:pPr>
        <w:pStyle w:val="Paragraphedeliste"/>
        <w:numPr>
          <w:ilvl w:val="0"/>
          <w:numId w:val="2"/>
        </w:numPr>
      </w:pPr>
      <w:r>
        <w:sym w:font="Wingdings" w:char="F06F"/>
      </w:r>
      <w:r>
        <w:t xml:space="preserve"> </w:t>
      </w:r>
      <w:r w:rsidR="00B24B6D">
        <w:t>Vérifier que la lumière passe au rouge et que le mécanisme MALT est levé</w:t>
      </w:r>
    </w:p>
    <w:p w:rsidR="00B24B6D" w:rsidRDefault="00500CF0" w:rsidP="00B24B6D">
      <w:pPr>
        <w:pStyle w:val="Paragraphedeliste"/>
        <w:numPr>
          <w:ilvl w:val="0"/>
          <w:numId w:val="2"/>
        </w:numPr>
      </w:pPr>
      <w:r>
        <w:sym w:font="Wingdings" w:char="F06F"/>
      </w:r>
      <w:r>
        <w:t xml:space="preserve"> </w:t>
      </w:r>
      <w:r w:rsidR="00B24B6D">
        <w:t>Allumer toutes les alimentations</w:t>
      </w:r>
      <w:r w:rsidR="007E313D">
        <w:t xml:space="preserve"> (HT</w:t>
      </w:r>
      <w:r w:rsidR="007B3891">
        <w:t>, HF</w:t>
      </w:r>
      <w:r w:rsidR="007E313D">
        <w:t>)</w:t>
      </w:r>
      <w:r w:rsidR="00B24B6D">
        <w:t xml:space="preserve"> sur la baie ainsi que l’ordinateur</w:t>
      </w:r>
    </w:p>
    <w:p w:rsidR="00500CF0" w:rsidRDefault="00500CF0" w:rsidP="00B24B6D">
      <w:pPr>
        <w:pStyle w:val="Paragraphedeliste"/>
        <w:numPr>
          <w:ilvl w:val="0"/>
          <w:numId w:val="2"/>
        </w:numPr>
      </w:pPr>
      <w:r>
        <w:sym w:font="Wingdings" w:char="F06F"/>
      </w:r>
      <w:r>
        <w:t xml:space="preserve"> </w:t>
      </w:r>
      <w:r w:rsidR="007B3891">
        <w:t>Injecter du gaz grâce à l’alime</w:t>
      </w:r>
      <w:r>
        <w:t>ntation de la vanne de gaz.</w:t>
      </w:r>
    </w:p>
    <w:p w:rsidR="007B3891" w:rsidRDefault="00500CF0" w:rsidP="00B24B6D">
      <w:pPr>
        <w:pStyle w:val="Paragraphedeliste"/>
        <w:numPr>
          <w:ilvl w:val="0"/>
          <w:numId w:val="2"/>
        </w:numPr>
      </w:pPr>
      <w:r>
        <w:sym w:font="Wingdings" w:char="F06F"/>
      </w:r>
      <w:r>
        <w:t xml:space="preserve"> </w:t>
      </w:r>
      <w:r w:rsidR="007B3891">
        <w:t>Vérifier la montée en pression</w:t>
      </w:r>
    </w:p>
    <w:p w:rsidR="007B3891" w:rsidRDefault="00500CF0" w:rsidP="00B24B6D">
      <w:pPr>
        <w:pStyle w:val="Paragraphedeliste"/>
        <w:numPr>
          <w:ilvl w:val="0"/>
          <w:numId w:val="2"/>
        </w:numPr>
      </w:pPr>
      <w:r>
        <w:sym w:font="Wingdings" w:char="F06F"/>
      </w:r>
      <w:r>
        <w:t xml:space="preserve"> </w:t>
      </w:r>
      <w:r w:rsidR="007B3891">
        <w:t>Appliquer les HT sur les électrodes</w:t>
      </w:r>
    </w:p>
    <w:p w:rsidR="00500CF0" w:rsidRDefault="00500CF0" w:rsidP="00500CF0">
      <w:pPr>
        <w:pStyle w:val="Paragraphedeliste"/>
        <w:numPr>
          <w:ilvl w:val="0"/>
          <w:numId w:val="2"/>
        </w:numPr>
      </w:pPr>
      <w:r>
        <w:sym w:font="Wingdings" w:char="F06F"/>
      </w:r>
      <w:r>
        <w:t xml:space="preserve"> </w:t>
      </w:r>
      <w:r w:rsidR="007B3891">
        <w:t>Démarrer la HF a 15% en faisant attention à la puissance réfléchie (&lt;30%)</w:t>
      </w:r>
    </w:p>
    <w:p w:rsidR="00500CF0" w:rsidRPr="0044582B" w:rsidRDefault="00500CF0" w:rsidP="00500CF0">
      <w:pPr>
        <w:rPr>
          <w:b/>
        </w:rPr>
      </w:pPr>
      <w:r w:rsidRPr="0044582B">
        <w:rPr>
          <w:b/>
        </w:rPr>
        <w:t>Extinction</w:t>
      </w:r>
    </w:p>
    <w:p w:rsidR="00500CF0" w:rsidRDefault="00500CF0" w:rsidP="00500CF0">
      <w:pPr>
        <w:pStyle w:val="Paragraphedeliste"/>
        <w:numPr>
          <w:ilvl w:val="0"/>
          <w:numId w:val="3"/>
        </w:numPr>
      </w:pPr>
      <w:r>
        <w:sym w:font="Wingdings" w:char="F06F"/>
      </w:r>
      <w:r>
        <w:t xml:space="preserve"> Baisser la HF et éteindre le générateur</w:t>
      </w:r>
    </w:p>
    <w:p w:rsidR="00500CF0" w:rsidRDefault="00500CF0" w:rsidP="00500CF0">
      <w:pPr>
        <w:pStyle w:val="Paragraphedeliste"/>
        <w:numPr>
          <w:ilvl w:val="0"/>
          <w:numId w:val="3"/>
        </w:numPr>
      </w:pPr>
      <w:r>
        <w:sym w:font="Wingdings" w:char="F06F"/>
      </w:r>
      <w:r>
        <w:t xml:space="preserve"> Fermer la vanne de gaz (10 V)</w:t>
      </w:r>
    </w:p>
    <w:p w:rsidR="00500CF0" w:rsidRDefault="00500CF0" w:rsidP="00500CF0">
      <w:pPr>
        <w:pStyle w:val="Paragraphedeliste"/>
        <w:numPr>
          <w:ilvl w:val="0"/>
          <w:numId w:val="3"/>
        </w:numPr>
      </w:pPr>
      <w:r>
        <w:sym w:font="Wingdings" w:char="F06F"/>
      </w:r>
      <w:r>
        <w:t xml:space="preserve"> Baisser les HT à 0 kV sur le PC</w:t>
      </w:r>
    </w:p>
    <w:p w:rsidR="00500CF0" w:rsidRDefault="00500CF0" w:rsidP="00500CF0">
      <w:pPr>
        <w:pStyle w:val="Paragraphedeliste"/>
        <w:numPr>
          <w:ilvl w:val="0"/>
          <w:numId w:val="3"/>
        </w:numPr>
      </w:pPr>
      <w:r>
        <w:sym w:font="Wingdings" w:char="F06F"/>
      </w:r>
      <w:r>
        <w:t xml:space="preserve"> Mettre HV OFF sur le PC et sur les alim HT manuelles</w:t>
      </w:r>
    </w:p>
    <w:p w:rsidR="00500CF0" w:rsidRDefault="00500CF0" w:rsidP="00500CF0">
      <w:pPr>
        <w:pStyle w:val="Paragraphedeliste"/>
        <w:numPr>
          <w:ilvl w:val="0"/>
          <w:numId w:val="3"/>
        </w:numPr>
      </w:pPr>
      <w:r>
        <w:sym w:font="Wingdings" w:char="F06F"/>
      </w:r>
      <w:r>
        <w:t xml:space="preserve"> Eteindre les alim HT</w:t>
      </w:r>
    </w:p>
    <w:p w:rsidR="001755F0" w:rsidRDefault="00500CF0" w:rsidP="001755F0">
      <w:pPr>
        <w:pStyle w:val="Paragraphedeliste"/>
        <w:numPr>
          <w:ilvl w:val="0"/>
          <w:numId w:val="3"/>
        </w:numPr>
      </w:pPr>
      <w:r>
        <w:sym w:font="Wingdings" w:char="F06F"/>
      </w:r>
      <w:r>
        <w:t xml:space="preserve"> Tourner la clé et la déposer prés du PC</w:t>
      </w:r>
    </w:p>
    <w:p w:rsidR="0044582B" w:rsidRDefault="0044582B" w:rsidP="001755F0">
      <w:pPr>
        <w:pStyle w:val="Paragraphedeliste"/>
        <w:numPr>
          <w:ilvl w:val="0"/>
          <w:numId w:val="3"/>
        </w:numPr>
      </w:pPr>
      <w:r>
        <w:sym w:font="Wingdings" w:char="F06F"/>
      </w:r>
      <w:r>
        <w:t xml:space="preserve"> Vérifier que le mécanisme MALT est descendu et que la lumière est passée au vert</w:t>
      </w:r>
    </w:p>
    <w:p w:rsidR="001755F0" w:rsidRDefault="001755F0"/>
    <w:sectPr w:rsidR="001755F0" w:rsidSect="001C7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FC" w:rsidRDefault="001410FC" w:rsidP="001410FC">
      <w:pPr>
        <w:spacing w:after="0" w:line="240" w:lineRule="auto"/>
      </w:pPr>
      <w:r>
        <w:separator/>
      </w:r>
    </w:p>
  </w:endnote>
  <w:endnote w:type="continuationSeparator" w:id="0">
    <w:p w:rsidR="001410FC" w:rsidRDefault="001410FC" w:rsidP="0014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FC" w:rsidRDefault="001410FC" w:rsidP="001410FC">
      <w:pPr>
        <w:spacing w:after="0" w:line="240" w:lineRule="auto"/>
      </w:pPr>
      <w:r>
        <w:separator/>
      </w:r>
    </w:p>
  </w:footnote>
  <w:footnote w:type="continuationSeparator" w:id="0">
    <w:p w:rsidR="001410FC" w:rsidRDefault="001410FC" w:rsidP="0014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1410FC" w:rsidRPr="00C264C4" w:rsidTr="003421A6">
      <w:trPr>
        <w:trHeight w:val="556"/>
        <w:jc w:val="center"/>
      </w:trPr>
      <w:tc>
        <w:tcPr>
          <w:tcW w:w="2509" w:type="dxa"/>
          <w:vMerge w:val="restart"/>
        </w:tcPr>
        <w:p w:rsidR="001410FC" w:rsidRPr="00534EC6" w:rsidRDefault="001410FC" w:rsidP="003421A6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2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1410FC" w:rsidRPr="00534EC6" w:rsidRDefault="001410FC" w:rsidP="003421A6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1410FC" w:rsidRPr="00534EC6" w:rsidRDefault="001410FC" w:rsidP="003421A6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1410FC" w:rsidRPr="00C264C4" w:rsidTr="003421A6">
      <w:trPr>
        <w:trHeight w:val="500"/>
        <w:jc w:val="center"/>
      </w:trPr>
      <w:tc>
        <w:tcPr>
          <w:tcW w:w="2509" w:type="dxa"/>
          <w:vMerge/>
          <w:vAlign w:val="center"/>
        </w:tcPr>
        <w:p w:rsidR="001410FC" w:rsidRPr="006B583B" w:rsidRDefault="001410FC" w:rsidP="003421A6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1410FC" w:rsidRPr="00C264C4" w:rsidRDefault="001410FC" w:rsidP="003421A6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1410FC" w:rsidRDefault="001410FC" w:rsidP="003421A6">
          <w:pPr>
            <w:pStyle w:val="En-tte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Issue de la procédure QSE</w:t>
          </w:r>
        </w:p>
        <w:p w:rsidR="001410FC" w:rsidRPr="007D6AF9" w:rsidRDefault="001410FC" w:rsidP="003421A6">
          <w:pPr>
            <w:pStyle w:val="En-tte"/>
            <w:jc w:val="center"/>
            <w:rPr>
              <w:rFonts w:ascii="Arial Narrow" w:hAnsi="Arial Narrow"/>
            </w:rPr>
          </w:pPr>
        </w:p>
      </w:tc>
    </w:tr>
    <w:tr w:rsidR="001410FC" w:rsidRPr="00C264C4" w:rsidTr="003421A6">
      <w:trPr>
        <w:jc w:val="center"/>
      </w:trPr>
      <w:tc>
        <w:tcPr>
          <w:tcW w:w="2509" w:type="dxa"/>
          <w:vAlign w:val="center"/>
        </w:tcPr>
        <w:p w:rsidR="001410FC" w:rsidRPr="00253ABD" w:rsidRDefault="001410FC" w:rsidP="003421A6">
          <w:pPr>
            <w:pStyle w:val="En-tte"/>
            <w:jc w:val="center"/>
            <w:rPr>
              <w:rFonts w:ascii="Arial Narrow" w:hAnsi="Arial Narrow"/>
              <w:lang w:val="en-GB"/>
            </w:rPr>
          </w:pPr>
          <w:proofErr w:type="spellStart"/>
          <w:r w:rsidRPr="00253ABD">
            <w:rPr>
              <w:rFonts w:ascii="Arial Narrow" w:hAnsi="Arial Narrow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lang w:val="en-GB"/>
            </w:rPr>
            <w:t xml:space="preserve">. </w:t>
          </w:r>
          <w:r>
            <w:rPr>
              <w:rFonts w:ascii="Arial Narrow" w:hAnsi="Arial Narrow"/>
              <w:lang w:val="en-GB"/>
            </w:rPr>
            <w:t>CIMAP</w:t>
          </w:r>
          <w:r w:rsidRPr="00253ABD">
            <w:rPr>
              <w:rFonts w:ascii="Arial Narrow" w:hAnsi="Arial Narrow"/>
              <w:lang w:val="en-GB"/>
            </w:rPr>
            <w:t>-</w:t>
          </w:r>
          <w:r>
            <w:rPr>
              <w:rFonts w:ascii="Arial Narrow" w:hAnsi="Arial Narrow"/>
              <w:lang w:val="en-GB"/>
            </w:rPr>
            <w:t>INS</w:t>
          </w:r>
          <w:r w:rsidRPr="00253ABD">
            <w:rPr>
              <w:rFonts w:ascii="Arial Narrow" w:hAnsi="Arial Narrow"/>
              <w:lang w:val="en-GB"/>
            </w:rPr>
            <w:t>-</w:t>
          </w:r>
          <w:r>
            <w:rPr>
              <w:rFonts w:ascii="Arial Narrow" w:hAnsi="Arial Narrow"/>
              <w:lang w:val="en-GB"/>
            </w:rPr>
            <w:t>QSE</w:t>
          </w:r>
          <w:r w:rsidRPr="00253ABD">
            <w:rPr>
              <w:rFonts w:ascii="Arial Narrow" w:hAnsi="Arial Narrow"/>
              <w:lang w:val="en-GB"/>
            </w:rPr>
            <w:t>-</w:t>
          </w:r>
          <w:r>
            <w:rPr>
              <w:rFonts w:ascii="Arial Narrow" w:hAnsi="Arial Narrow"/>
              <w:lang w:val="en-GB"/>
            </w:rPr>
            <w:t>08</w:t>
          </w:r>
        </w:p>
        <w:p w:rsidR="001410FC" w:rsidRPr="00253ABD" w:rsidRDefault="001410FC" w:rsidP="003421A6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1410FC" w:rsidRPr="00D975C0" w:rsidRDefault="001410FC" w:rsidP="001410FC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Vérifications de sécurité au démarrage et à l’arrêt de la Mono1000</w:t>
          </w:r>
          <w:r>
            <w:rPr>
              <w:rFonts w:ascii="Arial" w:hAnsi="Arial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2479" w:type="dxa"/>
          <w:vAlign w:val="center"/>
        </w:tcPr>
        <w:p w:rsidR="001410FC" w:rsidRPr="007D6AF9" w:rsidRDefault="001410FC" w:rsidP="003421A6">
          <w:pPr>
            <w:pStyle w:val="En-tte"/>
            <w:rPr>
              <w:rFonts w:ascii="Arial Narrow" w:hAnsi="Arial Narrow"/>
            </w:rPr>
          </w:pPr>
          <w:r w:rsidRPr="007D6AF9">
            <w:rPr>
              <w:rFonts w:ascii="Arial Narrow" w:hAnsi="Arial Narrow"/>
            </w:rPr>
            <w:t>Date de création</w:t>
          </w:r>
        </w:p>
        <w:p w:rsidR="001410FC" w:rsidRPr="007D6AF9" w:rsidRDefault="001410FC" w:rsidP="003421A6">
          <w:pPr>
            <w:pStyle w:val="En-tt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Juillet 2013</w:t>
          </w:r>
        </w:p>
        <w:p w:rsidR="001410FC" w:rsidRPr="007D6AF9" w:rsidRDefault="001410FC" w:rsidP="003421A6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Version 1.0</w:t>
          </w:r>
        </w:p>
      </w:tc>
    </w:tr>
  </w:tbl>
  <w:p w:rsidR="001410FC" w:rsidRDefault="001410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763"/>
    <w:multiLevelType w:val="hybridMultilevel"/>
    <w:tmpl w:val="85B641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6E4"/>
    <w:multiLevelType w:val="hybridMultilevel"/>
    <w:tmpl w:val="0B227A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F2988"/>
    <w:multiLevelType w:val="hybridMultilevel"/>
    <w:tmpl w:val="D564F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42A6"/>
    <w:rsid w:val="0002150D"/>
    <w:rsid w:val="001410FC"/>
    <w:rsid w:val="001755F0"/>
    <w:rsid w:val="001C7668"/>
    <w:rsid w:val="0044582B"/>
    <w:rsid w:val="00457EC7"/>
    <w:rsid w:val="00500CF0"/>
    <w:rsid w:val="006551E6"/>
    <w:rsid w:val="006A3D57"/>
    <w:rsid w:val="00712108"/>
    <w:rsid w:val="007B3891"/>
    <w:rsid w:val="007E313D"/>
    <w:rsid w:val="008A76E9"/>
    <w:rsid w:val="00B2387F"/>
    <w:rsid w:val="00B24B6D"/>
    <w:rsid w:val="00CA42A6"/>
    <w:rsid w:val="00DA2866"/>
    <w:rsid w:val="00DE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5F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14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410FC"/>
  </w:style>
  <w:style w:type="paragraph" w:styleId="Pieddepage">
    <w:name w:val="footer"/>
    <w:basedOn w:val="Normal"/>
    <w:link w:val="PieddepageCar"/>
    <w:uiPriority w:val="99"/>
    <w:semiHidden/>
    <w:unhideWhenUsed/>
    <w:rsid w:val="0014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10FC"/>
  </w:style>
  <w:style w:type="paragraph" w:styleId="Textedebulles">
    <w:name w:val="Balloon Text"/>
    <w:basedOn w:val="Normal"/>
    <w:link w:val="TextedebullesCar"/>
    <w:uiPriority w:val="99"/>
    <w:semiHidden/>
    <w:unhideWhenUsed/>
    <w:rsid w:val="001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cimap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rangama</dc:creator>
  <cp:lastModifiedBy>legrand</cp:lastModifiedBy>
  <cp:revision>4</cp:revision>
  <cp:lastPrinted>2013-07-03T12:56:00Z</cp:lastPrinted>
  <dcterms:created xsi:type="dcterms:W3CDTF">2013-07-03T12:55:00Z</dcterms:created>
  <dcterms:modified xsi:type="dcterms:W3CDTF">2013-07-03T14:47:00Z</dcterms:modified>
</cp:coreProperties>
</file>