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FA" w:rsidRPr="00804F45" w:rsidRDefault="005815FA">
      <w:pPr>
        <w:rPr>
          <w:color w:val="0000FF"/>
          <w:u w:val="single"/>
        </w:rPr>
      </w:pPr>
      <w:r w:rsidRPr="00804F45">
        <w:rPr>
          <w:color w:val="0000FF"/>
          <w:u w:val="single"/>
        </w:rPr>
        <w:t>1) Domaine d’application</w:t>
      </w:r>
    </w:p>
    <w:p w:rsidR="005815FA" w:rsidRPr="00E641D4" w:rsidRDefault="005815FA">
      <w:pPr>
        <w:rPr>
          <w:sz w:val="20"/>
          <w:szCs w:val="20"/>
          <w:u w:val="single"/>
        </w:rPr>
      </w:pPr>
    </w:p>
    <w:p w:rsidR="005815FA" w:rsidRPr="00804F45" w:rsidRDefault="005815FA">
      <w:pPr>
        <w:jc w:val="both"/>
      </w:pPr>
      <w:r w:rsidRPr="00804F45">
        <w:t xml:space="preserve">Ces consignes sont rédigées à l’attention </w:t>
      </w:r>
      <w:r w:rsidR="00E21149" w:rsidRPr="00804F45">
        <w:t xml:space="preserve">de l’ensemble des </w:t>
      </w:r>
      <w:r w:rsidR="00E21149" w:rsidRPr="00804F45">
        <w:rPr>
          <w:b/>
        </w:rPr>
        <w:t>agents du CIMAP manipulant des produits Can</w:t>
      </w:r>
      <w:r w:rsidR="005A0875" w:rsidRPr="00804F45">
        <w:rPr>
          <w:b/>
        </w:rPr>
        <w:t>cé</w:t>
      </w:r>
      <w:r w:rsidR="00E21149" w:rsidRPr="00804F45">
        <w:rPr>
          <w:b/>
        </w:rPr>
        <w:t xml:space="preserve">rogène – Mutagène </w:t>
      </w:r>
      <w:r w:rsidR="00B936A9">
        <w:rPr>
          <w:b/>
        </w:rPr>
        <w:t>–</w:t>
      </w:r>
      <w:r w:rsidR="00E21149" w:rsidRPr="00804F45">
        <w:rPr>
          <w:b/>
        </w:rPr>
        <w:t xml:space="preserve"> </w:t>
      </w:r>
      <w:proofErr w:type="spellStart"/>
      <w:r w:rsidR="00E21149" w:rsidRPr="00804F45">
        <w:rPr>
          <w:b/>
        </w:rPr>
        <w:t>Reprotoxique</w:t>
      </w:r>
      <w:proofErr w:type="spellEnd"/>
      <w:r w:rsidR="00B936A9">
        <w:rPr>
          <w:b/>
        </w:rPr>
        <w:t xml:space="preserve"> (CMR)</w:t>
      </w:r>
      <w:r w:rsidRPr="00804F45">
        <w:t>.</w:t>
      </w:r>
    </w:p>
    <w:p w:rsidR="005815FA" w:rsidRPr="00E641D4" w:rsidRDefault="005815FA" w:rsidP="00E641D4">
      <w:pPr>
        <w:rPr>
          <w:sz w:val="20"/>
          <w:szCs w:val="20"/>
          <w:u w:val="single"/>
        </w:rPr>
      </w:pPr>
    </w:p>
    <w:p w:rsidR="005815FA" w:rsidRPr="00804F45" w:rsidRDefault="005815FA">
      <w:pPr>
        <w:rPr>
          <w:color w:val="0000FF"/>
          <w:u w:val="single"/>
        </w:rPr>
      </w:pPr>
      <w:r w:rsidRPr="00804F45">
        <w:rPr>
          <w:color w:val="0000FF"/>
          <w:u w:val="single"/>
        </w:rPr>
        <w:t>2) Consignes</w:t>
      </w:r>
    </w:p>
    <w:p w:rsidR="005815FA" w:rsidRPr="00E641D4" w:rsidRDefault="005815FA">
      <w:pPr>
        <w:rPr>
          <w:sz w:val="20"/>
          <w:szCs w:val="20"/>
          <w:u w:val="single"/>
        </w:rPr>
      </w:pPr>
    </w:p>
    <w:p w:rsidR="00DF7919" w:rsidRPr="00804F45" w:rsidRDefault="00E21149" w:rsidP="00E21149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804F45">
        <w:rPr>
          <w:i/>
          <w:u w:val="single"/>
        </w:rPr>
        <w:t xml:space="preserve">Identification des CMR : </w:t>
      </w:r>
    </w:p>
    <w:p w:rsidR="00E21149" w:rsidRPr="00804F45" w:rsidRDefault="00E21149" w:rsidP="00E21149">
      <w:pPr>
        <w:jc w:val="center"/>
        <w:rPr>
          <w:color w:val="000000"/>
        </w:rPr>
      </w:pPr>
      <w:r w:rsidRPr="00804F45">
        <w:rPr>
          <w:noProof/>
          <w:color w:val="000000"/>
        </w:rPr>
        <w:drawing>
          <wp:inline distT="0" distB="0" distL="0" distR="0">
            <wp:extent cx="2661608" cy="2076275"/>
            <wp:effectExtent l="19050" t="0" r="5392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58" t="13694" r="61156" b="4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54" cy="207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B31" w:rsidRPr="00804F45">
        <w:rPr>
          <w:noProof/>
          <w:color w:val="000000"/>
        </w:rPr>
        <w:drawing>
          <wp:inline distT="0" distB="0" distL="0" distR="0">
            <wp:extent cx="2750475" cy="1933662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58" t="56118" r="61156" b="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77" cy="193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49" w:rsidRPr="00804F45" w:rsidRDefault="00685CF9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5640070</wp:posOffset>
            </wp:positionH>
            <wp:positionV relativeFrom="paragraph">
              <wp:posOffset>855345</wp:posOffset>
            </wp:positionV>
            <wp:extent cx="768985" cy="654050"/>
            <wp:effectExtent l="19050" t="0" r="0" b="0"/>
            <wp:wrapTight wrapText="bothSides">
              <wp:wrapPolygon edited="0">
                <wp:start x="-535" y="0"/>
                <wp:lineTo x="-535" y="20761"/>
                <wp:lineTo x="21404" y="20761"/>
                <wp:lineTo x="21404" y="0"/>
                <wp:lineTo x="-535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662" t="45339" r="55465" b="36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149" w:rsidRPr="00804F45">
        <w:t>A</w:t>
      </w:r>
      <w:r w:rsidR="00B936A9">
        <w:t>vant</w:t>
      </w:r>
      <w:r w:rsidR="00E21149" w:rsidRPr="00804F45">
        <w:t xml:space="preserve"> l’achat d’un nouveau produit chimique, vous devez </w:t>
      </w:r>
      <w:r w:rsidR="00E21149" w:rsidRPr="00685CF9">
        <w:rPr>
          <w:b/>
        </w:rPr>
        <w:t xml:space="preserve">informer </w:t>
      </w:r>
      <w:r w:rsidR="00804F45" w:rsidRPr="00685CF9">
        <w:rPr>
          <w:b/>
        </w:rPr>
        <w:t>l’ingénieur H&amp;S</w:t>
      </w:r>
      <w:r w:rsidR="00804F45">
        <w:t xml:space="preserve"> (ou à défaut un membre de </w:t>
      </w:r>
      <w:r w:rsidR="00E21149" w:rsidRPr="00804F45">
        <w:t>la cellule QSE</w:t>
      </w:r>
      <w:r w:rsidR="00804F45">
        <w:t>)</w:t>
      </w:r>
      <w:r w:rsidR="00E21149" w:rsidRPr="00804F45">
        <w:t xml:space="preserve"> </w:t>
      </w:r>
      <w:r w:rsidR="00804F45">
        <w:t xml:space="preserve">et fournir la </w:t>
      </w:r>
      <w:r w:rsidR="00804F45" w:rsidRPr="00685CF9">
        <w:rPr>
          <w:b/>
        </w:rPr>
        <w:t>Fiche de Données de Sécurité</w:t>
      </w:r>
      <w:r w:rsidR="00804F45">
        <w:t>, afin d’identifier</w:t>
      </w:r>
      <w:r w:rsidR="00E21149" w:rsidRPr="00804F45">
        <w:t xml:space="preserve"> si les produits sont classés CMR. </w:t>
      </w:r>
      <w:r w:rsidR="00804F45">
        <w:t xml:space="preserve">Dans ce cas, l’ingénieur H&amp;S et l’utilisateur définiront les mesures de prévention à mettre en œuvre afin que le niveau d’exposition soit aussi bas qu’il est techniquement possible d’atteindre. </w:t>
      </w:r>
    </w:p>
    <w:p w:rsidR="00E21149" w:rsidRPr="00804F45" w:rsidRDefault="00804F45">
      <w:pPr>
        <w:jc w:val="both"/>
      </w:pPr>
      <w:r w:rsidRPr="00804F45">
        <w:t xml:space="preserve">Les produits CMR doivent être </w:t>
      </w:r>
      <w:r w:rsidRPr="00685CF9">
        <w:rPr>
          <w:b/>
        </w:rPr>
        <w:t>stockés dans des armoires fermé</w:t>
      </w:r>
      <w:r w:rsidR="00C641E1">
        <w:rPr>
          <w:b/>
        </w:rPr>
        <w:t>e</w:t>
      </w:r>
      <w:r w:rsidRPr="00685CF9">
        <w:rPr>
          <w:b/>
        </w:rPr>
        <w:t>s à clé</w:t>
      </w:r>
      <w:r w:rsidRPr="00804F45">
        <w:t xml:space="preserve">. </w:t>
      </w:r>
      <w:r>
        <w:t>Il est recommandé de regrouper ensemble les produits CMR et d’utiliser</w:t>
      </w:r>
      <w:r w:rsidRPr="00804F45">
        <w:t xml:space="preserve"> </w:t>
      </w:r>
      <w:r>
        <w:t>le</w:t>
      </w:r>
      <w:r w:rsidRPr="00804F45">
        <w:t xml:space="preserve"> pictogramme non réglementaire</w:t>
      </w:r>
      <w:r>
        <w:t xml:space="preserve"> suivant afin de les identifier facilement : </w:t>
      </w:r>
    </w:p>
    <w:p w:rsidR="00E21149" w:rsidRPr="00E641D4" w:rsidRDefault="00E21149" w:rsidP="00E641D4">
      <w:pPr>
        <w:rPr>
          <w:sz w:val="20"/>
          <w:szCs w:val="20"/>
          <w:u w:val="single"/>
        </w:rPr>
      </w:pPr>
    </w:p>
    <w:p w:rsidR="00E21149" w:rsidRPr="0031157F" w:rsidRDefault="00E21149" w:rsidP="00E21149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31157F">
        <w:rPr>
          <w:i/>
          <w:u w:val="single"/>
        </w:rPr>
        <w:t xml:space="preserve">Substitution : </w:t>
      </w:r>
    </w:p>
    <w:p w:rsidR="00E21149" w:rsidRPr="00804F45" w:rsidRDefault="00E21149" w:rsidP="00E21149">
      <w:pPr>
        <w:jc w:val="both"/>
      </w:pPr>
      <w:r w:rsidRPr="00804F45">
        <w:t>Avant d’utiliser un produit CMR, vous devez impérativement vous demander s</w:t>
      </w:r>
      <w:r w:rsidR="00C641E1">
        <w:t>’</w:t>
      </w:r>
      <w:r w:rsidRPr="00804F45">
        <w:t xml:space="preserve">il peut être </w:t>
      </w:r>
      <w:r w:rsidRPr="00685CF9">
        <w:rPr>
          <w:b/>
        </w:rPr>
        <w:t>remplacé par un produit non CMR</w:t>
      </w:r>
      <w:r w:rsidRPr="00804F45">
        <w:t xml:space="preserve"> ou par un CMR de classe inférieure. </w:t>
      </w:r>
    </w:p>
    <w:p w:rsidR="00E21149" w:rsidRPr="00E641D4" w:rsidRDefault="00E21149" w:rsidP="00E641D4">
      <w:pPr>
        <w:rPr>
          <w:sz w:val="20"/>
          <w:szCs w:val="20"/>
          <w:u w:val="single"/>
        </w:rPr>
      </w:pPr>
    </w:p>
    <w:p w:rsidR="00E21149" w:rsidRPr="0031157F" w:rsidRDefault="00E21149" w:rsidP="00E21149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31157F">
        <w:rPr>
          <w:i/>
          <w:u w:val="single"/>
        </w:rPr>
        <w:t xml:space="preserve">Limitation du nombre de personnes exposées : </w:t>
      </w:r>
    </w:p>
    <w:p w:rsidR="00E21149" w:rsidRPr="00804F45" w:rsidRDefault="00E21149" w:rsidP="00E21149">
      <w:pPr>
        <w:jc w:val="both"/>
      </w:pPr>
      <w:r w:rsidRPr="00804F45">
        <w:t xml:space="preserve">Le nombre de personnes exposées aux CMR doit être limité au strict nécessaire. </w:t>
      </w:r>
      <w:r w:rsidRPr="00685CF9">
        <w:rPr>
          <w:b/>
        </w:rPr>
        <w:t>Les non permanents</w:t>
      </w:r>
      <w:r w:rsidR="00C641E1">
        <w:rPr>
          <w:b/>
        </w:rPr>
        <w:t xml:space="preserve"> (y compris les doctorants)</w:t>
      </w:r>
      <w:r w:rsidRPr="00685CF9">
        <w:rPr>
          <w:b/>
        </w:rPr>
        <w:t>, les femmes enceintes ou allaitantes ne peuvent pas être exposés aux CMR</w:t>
      </w:r>
      <w:r w:rsidRPr="00804F45">
        <w:t xml:space="preserve">. </w:t>
      </w:r>
    </w:p>
    <w:p w:rsidR="00C37A99" w:rsidRPr="00E641D4" w:rsidRDefault="00C37A99" w:rsidP="00E641D4">
      <w:pPr>
        <w:rPr>
          <w:sz w:val="20"/>
          <w:szCs w:val="20"/>
          <w:u w:val="single"/>
        </w:rPr>
      </w:pPr>
    </w:p>
    <w:p w:rsidR="00C37A99" w:rsidRPr="0031157F" w:rsidRDefault="00C37A99" w:rsidP="00C37A99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31157F">
        <w:rPr>
          <w:i/>
          <w:u w:val="single"/>
        </w:rPr>
        <w:t xml:space="preserve">Limitation des quantités manipulées : </w:t>
      </w:r>
    </w:p>
    <w:p w:rsidR="00C37A99" w:rsidRPr="00804F45" w:rsidRDefault="00C37A99" w:rsidP="00C37A99">
      <w:pPr>
        <w:jc w:val="both"/>
      </w:pPr>
      <w:r w:rsidRPr="00804F45">
        <w:t xml:space="preserve">Avant d’utiliser des CMR, vous devez </w:t>
      </w:r>
      <w:r w:rsidRPr="00685CF9">
        <w:rPr>
          <w:b/>
        </w:rPr>
        <w:t>établir un mode opératoire</w:t>
      </w:r>
      <w:r w:rsidRPr="00804F45">
        <w:t xml:space="preserve"> permettant de limiter au maximum les quantités de produits utilisé</w:t>
      </w:r>
      <w:r w:rsidR="00B936A9">
        <w:t>e</w:t>
      </w:r>
      <w:r w:rsidRPr="00804F45">
        <w:t xml:space="preserve">s et les manipulations (transvasement de produits, pesée, déplacements, agitations, chauffages, …). </w:t>
      </w:r>
    </w:p>
    <w:p w:rsidR="00C37A99" w:rsidRPr="00E641D4" w:rsidRDefault="00C37A99" w:rsidP="00E641D4">
      <w:pPr>
        <w:rPr>
          <w:sz w:val="20"/>
          <w:szCs w:val="20"/>
          <w:u w:val="single"/>
        </w:rPr>
      </w:pPr>
    </w:p>
    <w:p w:rsidR="00C37A99" w:rsidRPr="0031157F" w:rsidRDefault="00C37A99" w:rsidP="00C37A99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31157F">
        <w:rPr>
          <w:i/>
          <w:u w:val="single"/>
        </w:rPr>
        <w:t>Utilisation des équipements de protection collective et individuelle</w:t>
      </w:r>
      <w:r w:rsidR="00E908B9">
        <w:rPr>
          <w:i/>
          <w:u w:val="single"/>
        </w:rPr>
        <w:t> :</w:t>
      </w:r>
    </w:p>
    <w:p w:rsidR="00C37A99" w:rsidRPr="00804F45" w:rsidRDefault="00C37A99" w:rsidP="00C37A99">
      <w:pPr>
        <w:jc w:val="both"/>
      </w:pPr>
      <w:r w:rsidRPr="00804F45">
        <w:t xml:space="preserve">Les CMR doivent être impérativement manipulés sous </w:t>
      </w:r>
      <w:r w:rsidRPr="00685CF9">
        <w:rPr>
          <w:b/>
        </w:rPr>
        <w:t>hotte</w:t>
      </w:r>
      <w:r w:rsidRPr="00804F45">
        <w:t xml:space="preserve"> (avec les filtres adéquats), </w:t>
      </w:r>
      <w:r w:rsidR="00835B31" w:rsidRPr="00685CF9">
        <w:rPr>
          <w:b/>
        </w:rPr>
        <w:t>Sorbonne</w:t>
      </w:r>
      <w:r w:rsidRPr="00804F45">
        <w:t xml:space="preserve"> ou au plus près d’une </w:t>
      </w:r>
      <w:r w:rsidRPr="00685CF9">
        <w:rPr>
          <w:b/>
        </w:rPr>
        <w:t>aspiration</w:t>
      </w:r>
      <w:r w:rsidRPr="00804F45">
        <w:t xml:space="preserve">. </w:t>
      </w:r>
      <w:r w:rsidR="00F51328">
        <w:t xml:space="preserve">Ces protections collectives seront maintenues en fonctionnement au moins 1 heure après la manipulation. </w:t>
      </w:r>
      <w:r w:rsidR="00D07A9B">
        <w:t>Les protections individuelles (</w:t>
      </w:r>
      <w:r w:rsidR="00D07A9B" w:rsidRPr="00D07A9B">
        <w:rPr>
          <w:b/>
        </w:rPr>
        <w:t>gants adaptés, blouse et lunettes</w:t>
      </w:r>
      <w:r w:rsidR="00D07A9B">
        <w:t xml:space="preserve">) doivent également être utilisées. </w:t>
      </w:r>
    </w:p>
    <w:p w:rsidR="00C37A99" w:rsidRPr="00804F45" w:rsidRDefault="00C37A99" w:rsidP="00C37A99">
      <w:pPr>
        <w:jc w:val="both"/>
      </w:pPr>
      <w:r w:rsidRPr="00804F45">
        <w:t xml:space="preserve">Si le niveau de protection suffisant ne peut être obtenu avec les équipements de protection collective, vous devez utiliser les protections individuelles : </w:t>
      </w:r>
      <w:r w:rsidRPr="00685CF9">
        <w:rPr>
          <w:b/>
        </w:rPr>
        <w:t>masques respiratoires</w:t>
      </w:r>
      <w:r w:rsidRPr="00804F45">
        <w:t xml:space="preserve"> (adapté</w:t>
      </w:r>
      <w:r w:rsidR="0031157F">
        <w:t>s</w:t>
      </w:r>
      <w:r w:rsidRPr="00804F45">
        <w:t xml:space="preserve"> au produit ou masque </w:t>
      </w:r>
      <w:r w:rsidRPr="00804F45">
        <w:lastRenderedPageBreak/>
        <w:t xml:space="preserve">FFP3 pour les poussières et produits pulvérulents). </w:t>
      </w:r>
      <w:r w:rsidR="00257DB6">
        <w:t xml:space="preserve">Cette situation se présente notamment lors du démontage et nettoyage des équipements ayant contenus des CMR. </w:t>
      </w:r>
    </w:p>
    <w:p w:rsidR="00C37A99" w:rsidRPr="00E641D4" w:rsidRDefault="00C37A99" w:rsidP="00E641D4">
      <w:pPr>
        <w:rPr>
          <w:sz w:val="20"/>
          <w:szCs w:val="20"/>
          <w:u w:val="single"/>
        </w:rPr>
      </w:pPr>
    </w:p>
    <w:p w:rsidR="00C37A99" w:rsidRPr="0031157F" w:rsidRDefault="00C37A99" w:rsidP="00C37A99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31157F">
        <w:rPr>
          <w:i/>
          <w:u w:val="single"/>
        </w:rPr>
        <w:t>Nettoyage</w:t>
      </w:r>
      <w:r w:rsidR="00E908B9">
        <w:rPr>
          <w:i/>
          <w:u w:val="single"/>
        </w:rPr>
        <w:t> :</w:t>
      </w:r>
    </w:p>
    <w:p w:rsidR="00C37A99" w:rsidRPr="00804F45" w:rsidRDefault="00C37A99" w:rsidP="00C37A99">
      <w:pPr>
        <w:jc w:val="both"/>
      </w:pPr>
      <w:r w:rsidRPr="00804F45">
        <w:t xml:space="preserve">Le nettoyage des surfaces de travail doit être effectué par les utilisateurs à la fin de chaque manipulation. </w:t>
      </w:r>
    </w:p>
    <w:p w:rsidR="00F9388C" w:rsidRPr="00E641D4" w:rsidRDefault="00F9388C" w:rsidP="00E641D4">
      <w:pPr>
        <w:rPr>
          <w:sz w:val="20"/>
          <w:szCs w:val="20"/>
          <w:u w:val="single"/>
        </w:rPr>
      </w:pPr>
    </w:p>
    <w:p w:rsidR="00F9388C" w:rsidRPr="0031157F" w:rsidRDefault="00F9388C" w:rsidP="00F9388C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31157F">
        <w:rPr>
          <w:i/>
          <w:u w:val="single"/>
        </w:rPr>
        <w:t>Fiche d’exposition et suivi médical</w:t>
      </w:r>
      <w:r w:rsidR="00E908B9">
        <w:rPr>
          <w:i/>
          <w:u w:val="single"/>
        </w:rPr>
        <w:t> :</w:t>
      </w:r>
    </w:p>
    <w:p w:rsidR="00F9388C" w:rsidRDefault="00F9388C" w:rsidP="00F9388C">
      <w:pPr>
        <w:jc w:val="both"/>
      </w:pPr>
      <w:r w:rsidRPr="00804F45">
        <w:t xml:space="preserve">Les produits CMR que vous manipulez doivent être </w:t>
      </w:r>
      <w:r w:rsidR="00835B31" w:rsidRPr="00804F45">
        <w:t>indiqués</w:t>
      </w:r>
      <w:r w:rsidRPr="00804F45">
        <w:t xml:space="preserve"> sur les </w:t>
      </w:r>
      <w:r w:rsidRPr="00685CF9">
        <w:rPr>
          <w:b/>
        </w:rPr>
        <w:t>fiches de risques</w:t>
      </w:r>
      <w:r w:rsidRPr="00804F45">
        <w:t xml:space="preserve"> (fiche CNRS/UCBN ou fiche CEA). Cette fiche doit être mise à jour pour chaque nouveau CMR manipulé et signé par la direction du CIMAP. Cette fiche doit être complétée avec l’aide de la cellule QSE qui en archive une copie. </w:t>
      </w:r>
      <w:r w:rsidR="0031157F">
        <w:t xml:space="preserve">L’originale est transmise au médecin de prévention afin d’adapter le suivi médical. </w:t>
      </w:r>
    </w:p>
    <w:p w:rsidR="0031157F" w:rsidRPr="00804F45" w:rsidRDefault="0031157F" w:rsidP="00F9388C">
      <w:pPr>
        <w:jc w:val="both"/>
      </w:pPr>
      <w:r>
        <w:t xml:space="preserve">La fiche d’exposition permet d’établir l’attestation d’exposition délivrée par l’employeur au départ de l’établissement. </w:t>
      </w:r>
    </w:p>
    <w:p w:rsidR="00E21149" w:rsidRPr="00E641D4" w:rsidRDefault="00E21149" w:rsidP="00E641D4">
      <w:pPr>
        <w:rPr>
          <w:sz w:val="20"/>
          <w:szCs w:val="20"/>
          <w:u w:val="single"/>
        </w:rPr>
      </w:pPr>
    </w:p>
    <w:p w:rsidR="00DF7919" w:rsidRPr="00804F45" w:rsidRDefault="005815FA">
      <w:pPr>
        <w:rPr>
          <w:color w:val="0000FF"/>
          <w:u w:val="single"/>
        </w:rPr>
      </w:pPr>
      <w:r w:rsidRPr="00804F45">
        <w:rPr>
          <w:color w:val="0000FF"/>
          <w:u w:val="single"/>
        </w:rPr>
        <w:t xml:space="preserve">3) </w:t>
      </w:r>
      <w:r w:rsidR="0031157F">
        <w:rPr>
          <w:color w:val="0000FF"/>
          <w:u w:val="single"/>
        </w:rPr>
        <w:t>Conduite à tenir</w:t>
      </w:r>
      <w:r w:rsidRPr="00804F45">
        <w:rPr>
          <w:color w:val="0000FF"/>
          <w:u w:val="single"/>
        </w:rPr>
        <w:t xml:space="preserve"> en cas d’urgence</w:t>
      </w:r>
    </w:p>
    <w:p w:rsidR="005815FA" w:rsidRPr="00E641D4" w:rsidRDefault="005815FA" w:rsidP="00E641D4">
      <w:pPr>
        <w:rPr>
          <w:sz w:val="20"/>
          <w:szCs w:val="20"/>
          <w:u w:val="single"/>
        </w:rPr>
      </w:pPr>
    </w:p>
    <w:p w:rsidR="00B77C1C" w:rsidRPr="00B77C1C" w:rsidRDefault="00FA4DDC" w:rsidP="00B77C1C">
      <w:pPr>
        <w:pStyle w:val="Paragraphedeliste"/>
        <w:numPr>
          <w:ilvl w:val="0"/>
          <w:numId w:val="17"/>
        </w:numPr>
        <w:rPr>
          <w:i/>
          <w:u w:val="single"/>
        </w:rPr>
      </w:pPr>
      <w:r w:rsidRPr="00B77C1C">
        <w:rPr>
          <w:i/>
          <w:u w:val="single"/>
        </w:rPr>
        <w:t xml:space="preserve">Projection sur la peau et les vêtements : </w:t>
      </w:r>
    </w:p>
    <w:p w:rsidR="00FA4DDC" w:rsidRPr="00B77C1C" w:rsidRDefault="00B77C1C" w:rsidP="00685CF9">
      <w:pPr>
        <w:jc w:val="both"/>
      </w:pPr>
      <w:r w:rsidRPr="00B77C1C">
        <w:t>Ôter</w:t>
      </w:r>
      <w:r w:rsidR="00FA4DDC" w:rsidRPr="00B77C1C">
        <w:t xml:space="preserve"> en se protégeant ou faire ôter immédiatement des vêtements imbibés de produits et </w:t>
      </w:r>
      <w:r w:rsidR="00FA4DDC" w:rsidRPr="00685CF9">
        <w:rPr>
          <w:b/>
        </w:rPr>
        <w:t>arroser abondamment à grande eau</w:t>
      </w:r>
      <w:r w:rsidR="00FA4DDC" w:rsidRPr="00B77C1C">
        <w:t xml:space="preserve">, le plus tôt possible pour éliminer le produit en cause jusqu'à l'arrivée des secours. </w:t>
      </w:r>
      <w:r w:rsidR="00B936A9" w:rsidRPr="00B936A9">
        <w:rPr>
          <w:rStyle w:val="note"/>
          <w:i/>
        </w:rPr>
        <w:t>Dans de rares cas, en fonction du produit chimique impliqué, l’eau peut être inappropriée. Il faut se reporter aux informations figurant sur l’étiquette et la fiche de données de sécurité.</w:t>
      </w:r>
    </w:p>
    <w:p w:rsidR="00FA4DDC" w:rsidRPr="00E641D4" w:rsidRDefault="00FA4DDC" w:rsidP="00FA4DDC">
      <w:pPr>
        <w:rPr>
          <w:sz w:val="20"/>
          <w:szCs w:val="20"/>
          <w:u w:val="single"/>
        </w:rPr>
      </w:pPr>
    </w:p>
    <w:p w:rsidR="00B77C1C" w:rsidRPr="00B77C1C" w:rsidRDefault="00FA4DDC" w:rsidP="00B77C1C">
      <w:pPr>
        <w:pStyle w:val="Paragraphedeliste"/>
        <w:numPr>
          <w:ilvl w:val="0"/>
          <w:numId w:val="17"/>
        </w:numPr>
        <w:rPr>
          <w:i/>
          <w:u w:val="single"/>
        </w:rPr>
      </w:pPr>
      <w:r w:rsidRPr="00B77C1C">
        <w:rPr>
          <w:i/>
          <w:u w:val="single"/>
        </w:rPr>
        <w:t xml:space="preserve">Projection de liquide chimique dans l'œil : </w:t>
      </w:r>
    </w:p>
    <w:p w:rsidR="00FA4DDC" w:rsidRPr="00B77C1C" w:rsidRDefault="00B77C1C" w:rsidP="00B77C1C">
      <w:r w:rsidRPr="00685CF9">
        <w:rPr>
          <w:b/>
        </w:rPr>
        <w:t>Rincer</w:t>
      </w:r>
      <w:r w:rsidR="00FA4DDC" w:rsidRPr="00685CF9">
        <w:rPr>
          <w:b/>
        </w:rPr>
        <w:t xml:space="preserve"> l'œil abondamment à l'eau</w:t>
      </w:r>
      <w:r w:rsidR="00FA4DDC" w:rsidRPr="00B77C1C">
        <w:t xml:space="preserve"> le plus tôt possible, en prenant soin que l'eau de lavage ne coule pas </w:t>
      </w:r>
      <w:r w:rsidR="00B936A9">
        <w:t>dans</w:t>
      </w:r>
      <w:r w:rsidR="00FA4DDC" w:rsidRPr="00B77C1C">
        <w:t xml:space="preserve"> l'autre œil. </w:t>
      </w:r>
    </w:p>
    <w:p w:rsidR="00FA4DDC" w:rsidRPr="00E641D4" w:rsidRDefault="00FA4DDC" w:rsidP="00FA4DDC">
      <w:pPr>
        <w:rPr>
          <w:sz w:val="20"/>
          <w:szCs w:val="20"/>
          <w:u w:val="single"/>
        </w:rPr>
      </w:pPr>
    </w:p>
    <w:p w:rsidR="00B77C1C" w:rsidRPr="00B77C1C" w:rsidRDefault="00FA4DDC" w:rsidP="00B77C1C">
      <w:pPr>
        <w:pStyle w:val="Paragraphedeliste"/>
        <w:numPr>
          <w:ilvl w:val="0"/>
          <w:numId w:val="17"/>
        </w:numPr>
        <w:rPr>
          <w:i/>
          <w:u w:val="single"/>
        </w:rPr>
      </w:pPr>
      <w:r w:rsidRPr="00B77C1C">
        <w:rPr>
          <w:i/>
          <w:u w:val="single"/>
        </w:rPr>
        <w:t xml:space="preserve">Brûlure interne par ingestion : </w:t>
      </w:r>
    </w:p>
    <w:p w:rsidR="00FA4DDC" w:rsidRPr="00B77C1C" w:rsidRDefault="00B77C1C" w:rsidP="00B77C1C">
      <w:r w:rsidRPr="00685CF9">
        <w:rPr>
          <w:b/>
        </w:rPr>
        <w:t>Ne</w:t>
      </w:r>
      <w:r w:rsidR="00FA4DDC" w:rsidRPr="00685CF9">
        <w:rPr>
          <w:b/>
        </w:rPr>
        <w:t xml:space="preserve"> pas faire vomir, ne pas donner à boire, surveiller la victime</w:t>
      </w:r>
      <w:r w:rsidR="00FA4DDC" w:rsidRPr="00B77C1C">
        <w:t xml:space="preserve"> et garder l'emballage du produit chimique en cause et le produit restant. </w:t>
      </w:r>
    </w:p>
    <w:p w:rsidR="00B77C1C" w:rsidRPr="00E641D4" w:rsidRDefault="00B77C1C" w:rsidP="00FA4DDC">
      <w:pPr>
        <w:rPr>
          <w:sz w:val="20"/>
          <w:szCs w:val="20"/>
          <w:u w:val="single"/>
        </w:rPr>
      </w:pPr>
    </w:p>
    <w:p w:rsidR="00FA4DDC" w:rsidRPr="00B77C1C" w:rsidRDefault="00FA4DDC" w:rsidP="00B77C1C">
      <w:pPr>
        <w:pStyle w:val="Paragraphedeliste"/>
        <w:numPr>
          <w:ilvl w:val="0"/>
          <w:numId w:val="17"/>
        </w:numPr>
        <w:rPr>
          <w:i/>
          <w:u w:val="single"/>
        </w:rPr>
      </w:pPr>
      <w:r w:rsidRPr="00B77C1C">
        <w:rPr>
          <w:i/>
          <w:u w:val="single"/>
        </w:rPr>
        <w:t>En cas de malaise durant l'ut</w:t>
      </w:r>
      <w:r w:rsidR="00B77C1C" w:rsidRPr="00B77C1C">
        <w:rPr>
          <w:i/>
          <w:u w:val="single"/>
        </w:rPr>
        <w:t>ilisation d'un produit chimique :</w:t>
      </w:r>
    </w:p>
    <w:p w:rsidR="00FA4DDC" w:rsidRDefault="00FA4DDC" w:rsidP="00FA4DDC">
      <w:r w:rsidRPr="00B77C1C">
        <w:t>En cas de présence de symptômes tels que maux de tête, nausées, vertiges</w:t>
      </w:r>
      <w:r w:rsidR="00B936A9">
        <w:t>,</w:t>
      </w:r>
      <w:r w:rsidRPr="00B77C1C">
        <w:t xml:space="preserve"> vomissements, douleurs abdominales</w:t>
      </w:r>
      <w:r w:rsidR="000D679C">
        <w:t>, difficulté respiratoire</w:t>
      </w:r>
      <w:r w:rsidRPr="00B77C1C">
        <w:t xml:space="preserve"> : </w:t>
      </w:r>
      <w:r w:rsidRPr="00685CF9">
        <w:rPr>
          <w:b/>
        </w:rPr>
        <w:t>fermer le récipient de produit, sortir prendre l'air et alerter</w:t>
      </w:r>
      <w:r w:rsidRPr="00B77C1C">
        <w:t xml:space="preserve"> de toute urgence </w:t>
      </w:r>
      <w:r w:rsidR="00685CF9">
        <w:t xml:space="preserve">les secours. </w:t>
      </w:r>
    </w:p>
    <w:p w:rsidR="00B936A9" w:rsidRPr="00E641D4" w:rsidRDefault="00B936A9" w:rsidP="00FA4DDC">
      <w:pPr>
        <w:rPr>
          <w:sz w:val="20"/>
          <w:szCs w:val="20"/>
          <w:u w:val="single"/>
        </w:rPr>
      </w:pPr>
    </w:p>
    <w:p w:rsidR="00B936A9" w:rsidRPr="00B936A9" w:rsidRDefault="00B936A9" w:rsidP="00B936A9">
      <w:pPr>
        <w:jc w:val="center"/>
        <w:rPr>
          <w:b/>
        </w:rPr>
      </w:pPr>
      <w:r w:rsidRPr="00B936A9">
        <w:rPr>
          <w:b/>
        </w:rPr>
        <w:t>Dans tous les cas il est impératif de prendre un avis médical.</w:t>
      </w:r>
    </w:p>
    <w:p w:rsidR="00FA4DDC" w:rsidRPr="00E641D4" w:rsidRDefault="00FA4DDC" w:rsidP="00E641D4">
      <w:pPr>
        <w:rPr>
          <w:sz w:val="20"/>
          <w:szCs w:val="20"/>
          <w:u w:val="single"/>
        </w:rPr>
      </w:pPr>
    </w:p>
    <w:p w:rsidR="00FA4DDC" w:rsidRPr="00B77C1C" w:rsidRDefault="00B77C1C" w:rsidP="00B77C1C">
      <w:pPr>
        <w:pStyle w:val="Paragraphedeliste"/>
        <w:numPr>
          <w:ilvl w:val="0"/>
          <w:numId w:val="17"/>
        </w:numPr>
        <w:jc w:val="both"/>
        <w:rPr>
          <w:i/>
          <w:u w:val="single"/>
        </w:rPr>
      </w:pPr>
      <w:r w:rsidRPr="00B77C1C">
        <w:rPr>
          <w:i/>
          <w:u w:val="single"/>
        </w:rPr>
        <w:t xml:space="preserve">Alerter : </w:t>
      </w:r>
    </w:p>
    <w:p w:rsidR="00BA0247" w:rsidRDefault="00BA0247">
      <w:pPr>
        <w:jc w:val="both"/>
        <w:sectPr w:rsidR="00BA0247" w:rsidSect="00251394">
          <w:headerReference w:type="default" r:id="rId9"/>
          <w:footerReference w:type="default" r:id="rId10"/>
          <w:pgSz w:w="11906" w:h="16838" w:code="9"/>
          <w:pgMar w:top="851" w:right="851" w:bottom="284" w:left="851" w:header="340" w:footer="709" w:gutter="0"/>
          <w:cols w:space="708"/>
          <w:docGrid w:linePitch="360"/>
        </w:sectPr>
      </w:pPr>
    </w:p>
    <w:p w:rsidR="00B77C1C" w:rsidRPr="002D0A24" w:rsidRDefault="00B77C1C">
      <w:pPr>
        <w:jc w:val="both"/>
        <w:rPr>
          <w:i/>
          <w:color w:val="0070C0"/>
        </w:rPr>
      </w:pPr>
      <w:r w:rsidRPr="002D0A24">
        <w:rPr>
          <w:i/>
          <w:color w:val="0070C0"/>
        </w:rPr>
        <w:lastRenderedPageBreak/>
        <w:t xml:space="preserve">Sur le site de l’ENSICAEN : </w:t>
      </w:r>
    </w:p>
    <w:p w:rsidR="00B77C1C" w:rsidRDefault="00B77C1C">
      <w:pPr>
        <w:jc w:val="both"/>
      </w:pPr>
      <w:r>
        <w:t>Les Sauveteurs Secouristes du Travail</w:t>
      </w:r>
    </w:p>
    <w:p w:rsidR="00B77C1C" w:rsidRDefault="00B77C1C">
      <w:pPr>
        <w:jc w:val="both"/>
      </w:pPr>
      <w:r>
        <w:t>SAMU : 15</w:t>
      </w:r>
    </w:p>
    <w:p w:rsidR="00B77C1C" w:rsidRDefault="00B77C1C">
      <w:pPr>
        <w:jc w:val="both"/>
      </w:pPr>
      <w:r>
        <w:t>Le service HSE : 26 68</w:t>
      </w:r>
    </w:p>
    <w:p w:rsidR="00BA0247" w:rsidRDefault="00BA0247">
      <w:pPr>
        <w:jc w:val="both"/>
      </w:pPr>
      <w:r>
        <w:t>L’ingénieur H&amp;S : 45 09</w:t>
      </w:r>
    </w:p>
    <w:p w:rsidR="00B77C1C" w:rsidRPr="002D0A24" w:rsidRDefault="00B77C1C">
      <w:pPr>
        <w:jc w:val="both"/>
        <w:rPr>
          <w:i/>
          <w:color w:val="0070C0"/>
        </w:rPr>
      </w:pPr>
      <w:r w:rsidRPr="002D0A24">
        <w:rPr>
          <w:i/>
          <w:color w:val="0070C0"/>
        </w:rPr>
        <w:lastRenderedPageBreak/>
        <w:t xml:space="preserve">Sur le site du GANIL : </w:t>
      </w:r>
    </w:p>
    <w:p w:rsidR="00B77C1C" w:rsidRDefault="00B77C1C">
      <w:pPr>
        <w:jc w:val="both"/>
      </w:pPr>
      <w:r>
        <w:t>Les Sauveteurs Secouristes du Travail</w:t>
      </w:r>
    </w:p>
    <w:p w:rsidR="00B77C1C" w:rsidRDefault="00B77C1C">
      <w:pPr>
        <w:jc w:val="both"/>
      </w:pPr>
      <w:r>
        <w:t>L’ELPI : 15</w:t>
      </w:r>
    </w:p>
    <w:p w:rsidR="00B77C1C" w:rsidRDefault="00B77C1C">
      <w:pPr>
        <w:jc w:val="both"/>
      </w:pPr>
      <w:r>
        <w:t>Les pompiers : 18</w:t>
      </w:r>
    </w:p>
    <w:p w:rsidR="00BA0247" w:rsidRDefault="00BA0247" w:rsidP="00BA0247">
      <w:pPr>
        <w:jc w:val="both"/>
      </w:pPr>
      <w:r>
        <w:t>L’ingénieur H&amp;S : 45 09</w:t>
      </w:r>
    </w:p>
    <w:p w:rsidR="00BA0247" w:rsidRDefault="00BA0247">
      <w:pPr>
        <w:jc w:val="both"/>
        <w:sectPr w:rsidR="00BA0247" w:rsidSect="00BA0247">
          <w:type w:val="continuous"/>
          <w:pgSz w:w="11906" w:h="16838" w:code="9"/>
          <w:pgMar w:top="851" w:right="851" w:bottom="284" w:left="851" w:header="340" w:footer="709" w:gutter="0"/>
          <w:cols w:num="2" w:space="708"/>
          <w:docGrid w:linePitch="360"/>
        </w:sectPr>
      </w:pPr>
    </w:p>
    <w:p w:rsidR="00685CF9" w:rsidRPr="00E641D4" w:rsidRDefault="00685CF9" w:rsidP="00E641D4">
      <w:pPr>
        <w:rPr>
          <w:sz w:val="20"/>
          <w:szCs w:val="20"/>
          <w:u w:val="single"/>
        </w:rPr>
      </w:pPr>
    </w:p>
    <w:p w:rsidR="00FA4DDC" w:rsidRPr="00685CF9" w:rsidRDefault="00BA0247" w:rsidP="00BA0247">
      <w:pPr>
        <w:jc w:val="center"/>
        <w:rPr>
          <w:b/>
          <w:i/>
          <w:color w:val="FF0000"/>
        </w:rPr>
      </w:pPr>
      <w:r w:rsidRPr="00685CF9">
        <w:rPr>
          <w:b/>
          <w:i/>
          <w:color w:val="FF0000"/>
        </w:rPr>
        <w:t>Préciser la localisation de la victime, la gravité, les premières mesures prises et se munir de l’emballage du produit.</w:t>
      </w:r>
    </w:p>
    <w:p w:rsidR="00BA0247" w:rsidRPr="00E641D4" w:rsidRDefault="00BA0247" w:rsidP="00E641D4">
      <w:pPr>
        <w:rPr>
          <w:sz w:val="20"/>
          <w:szCs w:val="20"/>
          <w:u w:val="single"/>
        </w:rPr>
      </w:pPr>
    </w:p>
    <w:p w:rsidR="0031157F" w:rsidRPr="00B936A9" w:rsidRDefault="00B936A9">
      <w:pPr>
        <w:jc w:val="both"/>
        <w:rPr>
          <w:i/>
        </w:rPr>
      </w:pPr>
      <w:r w:rsidRPr="00B936A9">
        <w:rPr>
          <w:i/>
        </w:rPr>
        <w:t xml:space="preserve">Médecins de prévention : </w:t>
      </w:r>
    </w:p>
    <w:p w:rsidR="00B936A9" w:rsidRDefault="00B936A9">
      <w:pPr>
        <w:jc w:val="both"/>
      </w:pPr>
      <w:r>
        <w:t xml:space="preserve">UCBN / ENSICAEN : Dr </w:t>
      </w:r>
      <w:proofErr w:type="spellStart"/>
      <w:r>
        <w:t>Poudoulec</w:t>
      </w:r>
      <w:proofErr w:type="spellEnd"/>
      <w:r>
        <w:t xml:space="preserve"> </w:t>
      </w:r>
      <w:r w:rsidRPr="00B936A9">
        <w:t>02.31.56.56.79</w:t>
      </w:r>
    </w:p>
    <w:p w:rsidR="005815FA" w:rsidRPr="00804F45" w:rsidRDefault="00B936A9" w:rsidP="00DB5413">
      <w:pPr>
        <w:jc w:val="both"/>
      </w:pPr>
      <w:r>
        <w:t xml:space="preserve">CNRS / CEA : Dr Leclerc 02.31.45.45.45 (GANIL) ou </w:t>
      </w:r>
      <w:r w:rsidRPr="00B936A9">
        <w:t>02.31.46.26.82 (CMAIC)</w:t>
      </w:r>
    </w:p>
    <w:sectPr w:rsidR="005815FA" w:rsidRPr="00804F45" w:rsidSect="00BA0247">
      <w:type w:val="continuous"/>
      <w:pgSz w:w="11906" w:h="16838" w:code="9"/>
      <w:pgMar w:top="851" w:right="851" w:bottom="284" w:left="85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B6" w:rsidRDefault="00257DB6">
      <w:r>
        <w:separator/>
      </w:r>
    </w:p>
  </w:endnote>
  <w:endnote w:type="continuationSeparator" w:id="0">
    <w:p w:rsidR="00257DB6" w:rsidRDefault="0025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B6" w:rsidRDefault="00257DB6">
    <w:pPr>
      <w:pStyle w:val="Pieddepage"/>
      <w:rPr>
        <w:color w:val="000000"/>
        <w:sz w:val="16"/>
        <w:szCs w:val="16"/>
      </w:rPr>
    </w:pPr>
    <w:r>
      <w:tab/>
    </w:r>
    <w:r>
      <w:tab/>
    </w:r>
    <w:r>
      <w:tab/>
    </w:r>
    <w:r>
      <w:rPr>
        <w:color w:val="000000"/>
        <w:sz w:val="16"/>
        <w:szCs w:val="16"/>
      </w:rPr>
      <w:t xml:space="preserve">Page </w:t>
    </w:r>
    <w:r>
      <w:rPr>
        <w:rStyle w:val="Numrodepage"/>
        <w:color w:val="000000"/>
        <w:sz w:val="16"/>
        <w:szCs w:val="16"/>
      </w:rPr>
      <w:fldChar w:fldCharType="begin"/>
    </w:r>
    <w:r>
      <w:rPr>
        <w:rStyle w:val="Numrodepage"/>
        <w:color w:val="000000"/>
        <w:sz w:val="16"/>
        <w:szCs w:val="16"/>
      </w:rPr>
      <w:instrText xml:space="preserve"> PAGE </w:instrText>
    </w:r>
    <w:r>
      <w:rPr>
        <w:rStyle w:val="Numrodepage"/>
        <w:color w:val="000000"/>
        <w:sz w:val="16"/>
        <w:szCs w:val="16"/>
      </w:rPr>
      <w:fldChar w:fldCharType="separate"/>
    </w:r>
    <w:r w:rsidR="00A90C68">
      <w:rPr>
        <w:rStyle w:val="Numrodepage"/>
        <w:noProof/>
        <w:color w:val="000000"/>
        <w:sz w:val="16"/>
        <w:szCs w:val="16"/>
      </w:rPr>
      <w:t>1</w:t>
    </w:r>
    <w:r>
      <w:rPr>
        <w:rStyle w:val="Numrodepage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B6" w:rsidRDefault="00257DB6">
      <w:r>
        <w:separator/>
      </w:r>
    </w:p>
  </w:footnote>
  <w:footnote w:type="continuationSeparator" w:id="0">
    <w:p w:rsidR="00257DB6" w:rsidRDefault="00257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59" w:type="dxa"/>
      <w:jc w:val="center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2509"/>
      <w:gridCol w:w="5571"/>
      <w:gridCol w:w="2479"/>
    </w:tblGrid>
    <w:tr w:rsidR="00257DB6" w:rsidRPr="00C264C4" w:rsidTr="009E21EB">
      <w:trPr>
        <w:trHeight w:val="556"/>
        <w:jc w:val="center"/>
      </w:trPr>
      <w:tc>
        <w:tcPr>
          <w:tcW w:w="2509" w:type="dxa"/>
          <w:vMerge w:val="restart"/>
        </w:tcPr>
        <w:p w:rsidR="00257DB6" w:rsidRPr="00534EC6" w:rsidRDefault="00257DB6" w:rsidP="009E21EB">
          <w:r w:rsidRPr="00DF7919">
            <w:rPr>
              <w:noProof/>
            </w:rPr>
            <w:drawing>
              <wp:inline distT="0" distB="0" distL="0" distR="0">
                <wp:extent cx="1391285" cy="538480"/>
                <wp:effectExtent l="19050" t="0" r="0" b="0"/>
                <wp:docPr id="1" name="Image 1" descr="lettre ha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re ha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  <w:vMerge w:val="restart"/>
        </w:tcPr>
        <w:p w:rsidR="00257DB6" w:rsidRPr="00534EC6" w:rsidRDefault="00257DB6" w:rsidP="00DF7919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 w:rsidRPr="00C264C4">
            <w:rPr>
              <w:rFonts w:ascii="Arial Narrow" w:hAnsi="Arial Narrow"/>
            </w:rPr>
            <w:br/>
          </w:r>
          <w:r>
            <w:rPr>
              <w:rFonts w:ascii="Arial Narrow" w:hAnsi="Arial Narrow"/>
              <w:b/>
              <w:sz w:val="32"/>
            </w:rPr>
            <w:t>Cellule QSE</w:t>
          </w:r>
        </w:p>
      </w:tc>
      <w:tc>
        <w:tcPr>
          <w:tcW w:w="2479" w:type="dxa"/>
          <w:shd w:val="clear" w:color="auto" w:fill="F3F3F3"/>
          <w:vAlign w:val="center"/>
        </w:tcPr>
        <w:p w:rsidR="00257DB6" w:rsidRPr="00534EC6" w:rsidRDefault="00257DB6" w:rsidP="009E21EB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outline/>
              <w:sz w:val="32"/>
            </w:rPr>
            <w:t>INSTRUCTION</w:t>
          </w:r>
        </w:p>
      </w:tc>
    </w:tr>
    <w:tr w:rsidR="00257DB6" w:rsidRPr="00C264C4" w:rsidTr="009E21EB">
      <w:trPr>
        <w:trHeight w:val="500"/>
        <w:jc w:val="center"/>
      </w:trPr>
      <w:tc>
        <w:tcPr>
          <w:tcW w:w="2509" w:type="dxa"/>
          <w:vMerge/>
          <w:vAlign w:val="center"/>
        </w:tcPr>
        <w:p w:rsidR="00257DB6" w:rsidRPr="006B583B" w:rsidRDefault="00257DB6" w:rsidP="009E21EB">
          <w:pPr>
            <w:pStyle w:val="En-tte"/>
            <w:jc w:val="center"/>
            <w:rPr>
              <w:rFonts w:ascii="Arial Narrow" w:hAnsi="Arial Narrow"/>
              <w:color w:val="808080"/>
            </w:rPr>
          </w:pPr>
        </w:p>
      </w:tc>
      <w:tc>
        <w:tcPr>
          <w:tcW w:w="5571" w:type="dxa"/>
          <w:vMerge/>
        </w:tcPr>
        <w:p w:rsidR="00257DB6" w:rsidRPr="00C264C4" w:rsidRDefault="00257DB6" w:rsidP="009E21EB">
          <w:pPr>
            <w:pStyle w:val="En-tte"/>
            <w:jc w:val="center"/>
            <w:rPr>
              <w:rFonts w:ascii="Arial Narrow" w:hAnsi="Arial Narrow"/>
            </w:rPr>
          </w:pPr>
        </w:p>
      </w:tc>
      <w:tc>
        <w:tcPr>
          <w:tcW w:w="2479" w:type="dxa"/>
          <w:vAlign w:val="center"/>
        </w:tcPr>
        <w:p w:rsidR="00257DB6" w:rsidRDefault="00257DB6" w:rsidP="009E21EB">
          <w:pPr>
            <w:pStyle w:val="En-tt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Issue de la procédure QSE</w:t>
          </w:r>
        </w:p>
        <w:p w:rsidR="00257DB6" w:rsidRPr="007D6AF9" w:rsidRDefault="00257DB6" w:rsidP="009E21EB">
          <w:pPr>
            <w:pStyle w:val="En-tte"/>
            <w:jc w:val="center"/>
            <w:rPr>
              <w:rFonts w:ascii="Arial Narrow" w:hAnsi="Arial Narrow"/>
              <w:sz w:val="22"/>
            </w:rPr>
          </w:pPr>
        </w:p>
      </w:tc>
    </w:tr>
    <w:tr w:rsidR="00257DB6" w:rsidRPr="00C264C4" w:rsidTr="009E21EB">
      <w:trPr>
        <w:jc w:val="center"/>
      </w:trPr>
      <w:tc>
        <w:tcPr>
          <w:tcW w:w="2509" w:type="dxa"/>
          <w:vAlign w:val="center"/>
        </w:tcPr>
        <w:p w:rsidR="00257DB6" w:rsidRPr="00253ABD" w:rsidRDefault="00257DB6" w:rsidP="009E21EB">
          <w:pPr>
            <w:pStyle w:val="En-tte"/>
            <w:jc w:val="center"/>
            <w:rPr>
              <w:rFonts w:ascii="Arial Narrow" w:hAnsi="Arial Narrow"/>
              <w:sz w:val="22"/>
              <w:lang w:val="en-GB"/>
            </w:rPr>
          </w:pPr>
          <w:proofErr w:type="spellStart"/>
          <w:r w:rsidRPr="00253ABD">
            <w:rPr>
              <w:rFonts w:ascii="Arial Narrow" w:hAnsi="Arial Narrow"/>
              <w:sz w:val="22"/>
              <w:lang w:val="en-GB"/>
            </w:rPr>
            <w:t>Réf</w:t>
          </w:r>
          <w:proofErr w:type="spellEnd"/>
          <w:r w:rsidRPr="00253ABD">
            <w:rPr>
              <w:rFonts w:ascii="Arial Narrow" w:hAnsi="Arial Narrow"/>
              <w:sz w:val="22"/>
              <w:lang w:val="en-GB"/>
            </w:rPr>
            <w:t xml:space="preserve">. </w:t>
          </w:r>
          <w:r>
            <w:rPr>
              <w:rFonts w:ascii="Arial Narrow" w:hAnsi="Arial Narrow"/>
              <w:sz w:val="22"/>
              <w:lang w:val="en-GB"/>
            </w:rPr>
            <w:t>CIMAP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INS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QSE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09</w:t>
          </w:r>
        </w:p>
        <w:p w:rsidR="00257DB6" w:rsidRPr="00253ABD" w:rsidRDefault="00257DB6" w:rsidP="009E21EB">
          <w:pPr>
            <w:pStyle w:val="En-tte"/>
            <w:jc w:val="center"/>
            <w:rPr>
              <w:rFonts w:ascii="Arial Narrow" w:hAnsi="Arial Narrow"/>
              <w:color w:val="808080"/>
              <w:lang w:val="en-GB"/>
            </w:rPr>
          </w:pPr>
        </w:p>
      </w:tc>
      <w:tc>
        <w:tcPr>
          <w:tcW w:w="5571" w:type="dxa"/>
        </w:tcPr>
        <w:p w:rsidR="00257DB6" w:rsidRPr="00D975C0" w:rsidRDefault="00257DB6" w:rsidP="00E21149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" w:hAnsi="Arial"/>
              <w:b/>
              <w:bCs/>
              <w:sz w:val="28"/>
              <w:szCs w:val="28"/>
            </w:rPr>
            <w:t xml:space="preserve">Consignes de manipulation des agents chimiques CMR </w:t>
          </w:r>
        </w:p>
      </w:tc>
      <w:tc>
        <w:tcPr>
          <w:tcW w:w="2479" w:type="dxa"/>
          <w:vAlign w:val="center"/>
        </w:tcPr>
        <w:p w:rsidR="00257DB6" w:rsidRPr="007D6AF9" w:rsidRDefault="00257DB6" w:rsidP="009E21EB">
          <w:pPr>
            <w:pStyle w:val="En-tte"/>
            <w:rPr>
              <w:rFonts w:ascii="Arial Narrow" w:hAnsi="Arial Narrow"/>
              <w:sz w:val="22"/>
            </w:rPr>
          </w:pPr>
          <w:r w:rsidRPr="007D6AF9">
            <w:rPr>
              <w:rFonts w:ascii="Arial Narrow" w:hAnsi="Arial Narrow"/>
              <w:sz w:val="22"/>
            </w:rPr>
            <w:t>Date de création</w:t>
          </w:r>
        </w:p>
        <w:p w:rsidR="00257DB6" w:rsidRPr="007D6AF9" w:rsidRDefault="00257DB6" w:rsidP="009E21EB">
          <w:pPr>
            <w:pStyle w:val="En-tte"/>
            <w:jc w:val="righ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Juillet 2013</w:t>
          </w:r>
        </w:p>
        <w:p w:rsidR="00257DB6" w:rsidRPr="007D6AF9" w:rsidRDefault="00257DB6" w:rsidP="00DF7919">
          <w:pPr>
            <w:pStyle w:val="En-tte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Version 1.0</w:t>
          </w:r>
        </w:p>
      </w:tc>
    </w:tr>
  </w:tbl>
  <w:p w:rsidR="00257DB6" w:rsidRDefault="00257DB6" w:rsidP="00E641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F4F"/>
    <w:multiLevelType w:val="hybridMultilevel"/>
    <w:tmpl w:val="D64CDC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3943"/>
    <w:multiLevelType w:val="hybridMultilevel"/>
    <w:tmpl w:val="F41EAD9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A454E"/>
    <w:multiLevelType w:val="multilevel"/>
    <w:tmpl w:val="246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10DEC"/>
    <w:multiLevelType w:val="hybridMultilevel"/>
    <w:tmpl w:val="920C7FB4"/>
    <w:lvl w:ilvl="0" w:tplc="420E834E">
      <w:start w:val="1"/>
      <w:numFmt w:val="bullet"/>
      <w:lvlText w:val=""/>
      <w:lvlJc w:val="left"/>
      <w:pPr>
        <w:tabs>
          <w:tab w:val="num" w:pos="709"/>
        </w:tabs>
        <w:ind w:left="993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4940D59"/>
    <w:multiLevelType w:val="multilevel"/>
    <w:tmpl w:val="83E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25A6B"/>
    <w:multiLevelType w:val="hybridMultilevel"/>
    <w:tmpl w:val="B444075C"/>
    <w:lvl w:ilvl="0" w:tplc="BFAA7EC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93C"/>
    <w:multiLevelType w:val="hybridMultilevel"/>
    <w:tmpl w:val="C0D2BACC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25DD0"/>
    <w:multiLevelType w:val="hybridMultilevel"/>
    <w:tmpl w:val="538451C6"/>
    <w:lvl w:ilvl="0" w:tplc="C374C61A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DF667A7"/>
    <w:multiLevelType w:val="hybridMultilevel"/>
    <w:tmpl w:val="D66A26D4"/>
    <w:lvl w:ilvl="0" w:tplc="4058EB6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606B"/>
    <w:multiLevelType w:val="hybridMultilevel"/>
    <w:tmpl w:val="56C681C4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05B4E"/>
    <w:multiLevelType w:val="hybridMultilevel"/>
    <w:tmpl w:val="B708638E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E78A7"/>
    <w:multiLevelType w:val="multilevel"/>
    <w:tmpl w:val="027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45A8C"/>
    <w:multiLevelType w:val="hybridMultilevel"/>
    <w:tmpl w:val="2A5ED336"/>
    <w:lvl w:ilvl="0" w:tplc="75DE63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786C"/>
    <w:multiLevelType w:val="hybridMultilevel"/>
    <w:tmpl w:val="0CAEC08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C4B9D"/>
    <w:multiLevelType w:val="multilevel"/>
    <w:tmpl w:val="FCA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526AF"/>
    <w:multiLevelType w:val="hybridMultilevel"/>
    <w:tmpl w:val="86C80908"/>
    <w:lvl w:ilvl="0" w:tplc="889C530C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21E0CD5"/>
    <w:multiLevelType w:val="hybridMultilevel"/>
    <w:tmpl w:val="56043EA0"/>
    <w:lvl w:ilvl="0" w:tplc="2028197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>
    <w:nsid w:val="57B2106A"/>
    <w:multiLevelType w:val="hybridMultilevel"/>
    <w:tmpl w:val="0C322230"/>
    <w:lvl w:ilvl="0" w:tplc="020E22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F2BC9"/>
    <w:multiLevelType w:val="multilevel"/>
    <w:tmpl w:val="1780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B3E89"/>
    <w:multiLevelType w:val="hybridMultilevel"/>
    <w:tmpl w:val="B3C03B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245A0"/>
    <w:multiLevelType w:val="hybridMultilevel"/>
    <w:tmpl w:val="B02AD01A"/>
    <w:lvl w:ilvl="0" w:tplc="6C6015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724A5"/>
    <w:multiLevelType w:val="hybridMultilevel"/>
    <w:tmpl w:val="ED44E5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21"/>
  </w:num>
  <w:num w:numId="6">
    <w:abstractNumId w:val="16"/>
  </w:num>
  <w:num w:numId="7">
    <w:abstractNumId w:val="1"/>
  </w:num>
  <w:num w:numId="8">
    <w:abstractNumId w:val="15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12"/>
  </w:num>
  <w:num w:numId="15">
    <w:abstractNumId w:val="19"/>
  </w:num>
  <w:num w:numId="16">
    <w:abstractNumId w:val="20"/>
  </w:num>
  <w:num w:numId="17">
    <w:abstractNumId w:val="17"/>
  </w:num>
  <w:num w:numId="18">
    <w:abstractNumId w:val="18"/>
  </w:num>
  <w:num w:numId="19">
    <w:abstractNumId w:val="2"/>
  </w:num>
  <w:num w:numId="20">
    <w:abstractNumId w:val="14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605E8"/>
    <w:rsid w:val="00016C19"/>
    <w:rsid w:val="000301B5"/>
    <w:rsid w:val="0007150D"/>
    <w:rsid w:val="00082E96"/>
    <w:rsid w:val="000D679C"/>
    <w:rsid w:val="001C50BB"/>
    <w:rsid w:val="00251394"/>
    <w:rsid w:val="00257DB6"/>
    <w:rsid w:val="002A21B3"/>
    <w:rsid w:val="002D0A24"/>
    <w:rsid w:val="002E259E"/>
    <w:rsid w:val="0030001E"/>
    <w:rsid w:val="0031157F"/>
    <w:rsid w:val="004041E0"/>
    <w:rsid w:val="004655D0"/>
    <w:rsid w:val="004B0F12"/>
    <w:rsid w:val="004B101B"/>
    <w:rsid w:val="004F6300"/>
    <w:rsid w:val="005502FD"/>
    <w:rsid w:val="005815FA"/>
    <w:rsid w:val="005A0875"/>
    <w:rsid w:val="005A72EB"/>
    <w:rsid w:val="005D59E9"/>
    <w:rsid w:val="00685CF9"/>
    <w:rsid w:val="0069644A"/>
    <w:rsid w:val="007605E8"/>
    <w:rsid w:val="00763162"/>
    <w:rsid w:val="007D5198"/>
    <w:rsid w:val="007F579C"/>
    <w:rsid w:val="00804F45"/>
    <w:rsid w:val="00827C65"/>
    <w:rsid w:val="00835B31"/>
    <w:rsid w:val="008A4E8A"/>
    <w:rsid w:val="008F5586"/>
    <w:rsid w:val="0097752E"/>
    <w:rsid w:val="009803B3"/>
    <w:rsid w:val="009A5D50"/>
    <w:rsid w:val="009E21EB"/>
    <w:rsid w:val="00A90C68"/>
    <w:rsid w:val="00AD149E"/>
    <w:rsid w:val="00AE0E13"/>
    <w:rsid w:val="00B534D3"/>
    <w:rsid w:val="00B65299"/>
    <w:rsid w:val="00B77C1C"/>
    <w:rsid w:val="00B936A9"/>
    <w:rsid w:val="00BA0247"/>
    <w:rsid w:val="00C12EBE"/>
    <w:rsid w:val="00C37A99"/>
    <w:rsid w:val="00C641E1"/>
    <w:rsid w:val="00C73902"/>
    <w:rsid w:val="00CE6475"/>
    <w:rsid w:val="00D07A9B"/>
    <w:rsid w:val="00D511B1"/>
    <w:rsid w:val="00DB5413"/>
    <w:rsid w:val="00DF7919"/>
    <w:rsid w:val="00E21149"/>
    <w:rsid w:val="00E641D4"/>
    <w:rsid w:val="00E908B9"/>
    <w:rsid w:val="00F51328"/>
    <w:rsid w:val="00F9388C"/>
    <w:rsid w:val="00FA21E2"/>
    <w:rsid w:val="00FA4DDC"/>
    <w:rsid w:val="00FC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3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13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139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51394"/>
  </w:style>
  <w:style w:type="character" w:customStyle="1" w:styleId="En-tteCar">
    <w:name w:val="En-tête Car"/>
    <w:basedOn w:val="Policepardfaut"/>
    <w:link w:val="En-tte"/>
    <w:rsid w:val="00DB5413"/>
    <w:rPr>
      <w:sz w:val="24"/>
      <w:szCs w:val="24"/>
      <w:lang w:val="fr-FR" w:eastAsia="fr-FR" w:bidi="ar-SA"/>
    </w:rPr>
  </w:style>
  <w:style w:type="paragraph" w:customStyle="1" w:styleId="normal2">
    <w:name w:val="normal2"/>
    <w:basedOn w:val="Normal"/>
    <w:rsid w:val="00251394"/>
    <w:pPr>
      <w:jc w:val="both"/>
    </w:pPr>
    <w:rPr>
      <w:rFonts w:ascii="Comic Sans MS" w:hAnsi="Comic Sans MS"/>
      <w:sz w:val="22"/>
    </w:rPr>
  </w:style>
  <w:style w:type="character" w:customStyle="1" w:styleId="normal2Car">
    <w:name w:val="normal2 Car"/>
    <w:basedOn w:val="Policepardfaut"/>
    <w:rsid w:val="00251394"/>
    <w:rPr>
      <w:rFonts w:ascii="Comic Sans MS" w:hAnsi="Comic Sans MS"/>
      <w:sz w:val="22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DF791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DF79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791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1157F"/>
    <w:rPr>
      <w:b/>
      <w:bCs/>
    </w:rPr>
  </w:style>
  <w:style w:type="character" w:customStyle="1" w:styleId="note">
    <w:name w:val="note"/>
    <w:basedOn w:val="Policepardfaut"/>
    <w:rsid w:val="0031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FASCICULE</vt:lpstr>
    </vt:vector>
  </TitlesOfParts>
  <Company>LAL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FASCICULE</dc:title>
  <dc:creator>biron</dc:creator>
  <cp:lastModifiedBy>legrand</cp:lastModifiedBy>
  <cp:revision>4</cp:revision>
  <cp:lastPrinted>2013-07-23T12:44:00Z</cp:lastPrinted>
  <dcterms:created xsi:type="dcterms:W3CDTF">2013-09-25T11:12:00Z</dcterms:created>
  <dcterms:modified xsi:type="dcterms:W3CDTF">2013-10-01T16:00:00Z</dcterms:modified>
</cp:coreProperties>
</file>