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FA" w:rsidRPr="00804F45" w:rsidRDefault="005815FA">
      <w:pPr>
        <w:rPr>
          <w:color w:val="0000FF"/>
          <w:u w:val="single"/>
        </w:rPr>
      </w:pPr>
      <w:r w:rsidRPr="00804F45">
        <w:rPr>
          <w:color w:val="0000FF"/>
          <w:u w:val="single"/>
        </w:rPr>
        <w:t>1) Domaine d’application</w:t>
      </w:r>
    </w:p>
    <w:p w:rsidR="005815FA" w:rsidRPr="00F74CD4" w:rsidRDefault="005815FA">
      <w:pPr>
        <w:rPr>
          <w:sz w:val="16"/>
          <w:szCs w:val="16"/>
          <w:u w:val="single"/>
        </w:rPr>
      </w:pPr>
    </w:p>
    <w:p w:rsidR="005815FA" w:rsidRPr="00804F45" w:rsidRDefault="005815FA">
      <w:pPr>
        <w:jc w:val="both"/>
      </w:pPr>
      <w:r w:rsidRPr="00804F45">
        <w:t xml:space="preserve">Ces consignes sont rédigées à l’attention </w:t>
      </w:r>
      <w:r w:rsidR="00E21149" w:rsidRPr="00804F45">
        <w:t xml:space="preserve">de l’ensemble des </w:t>
      </w:r>
      <w:r w:rsidR="00E21149" w:rsidRPr="00804F45">
        <w:rPr>
          <w:b/>
        </w:rPr>
        <w:t xml:space="preserve">agents du CIMAP </w:t>
      </w:r>
      <w:r w:rsidR="00E5743E">
        <w:rPr>
          <w:b/>
        </w:rPr>
        <w:t>utilisant des gaz</w:t>
      </w:r>
      <w:r w:rsidRPr="00804F45">
        <w:t>.</w:t>
      </w:r>
    </w:p>
    <w:p w:rsidR="005815FA" w:rsidRPr="00F74CD4" w:rsidRDefault="005815FA" w:rsidP="00E641D4">
      <w:pPr>
        <w:rPr>
          <w:sz w:val="16"/>
          <w:szCs w:val="16"/>
          <w:u w:val="single"/>
        </w:rPr>
      </w:pPr>
    </w:p>
    <w:p w:rsidR="005815FA" w:rsidRPr="00804F45" w:rsidRDefault="005815FA">
      <w:pPr>
        <w:rPr>
          <w:color w:val="0000FF"/>
          <w:u w:val="single"/>
        </w:rPr>
      </w:pPr>
      <w:r w:rsidRPr="00804F45">
        <w:rPr>
          <w:color w:val="0000FF"/>
          <w:u w:val="single"/>
        </w:rPr>
        <w:t>2) Consignes</w:t>
      </w:r>
    </w:p>
    <w:p w:rsidR="005815FA" w:rsidRPr="00F74CD4" w:rsidRDefault="005815FA">
      <w:pPr>
        <w:rPr>
          <w:sz w:val="16"/>
          <w:szCs w:val="16"/>
          <w:u w:val="single"/>
        </w:rPr>
      </w:pPr>
    </w:p>
    <w:p w:rsidR="00DF7919" w:rsidRPr="00804F45" w:rsidRDefault="00E5743E" w:rsidP="00E21149">
      <w:pPr>
        <w:pStyle w:val="Paragraphedeliste"/>
        <w:numPr>
          <w:ilvl w:val="0"/>
          <w:numId w:val="17"/>
        </w:numPr>
        <w:jc w:val="both"/>
        <w:rPr>
          <w:i/>
          <w:u w:val="single"/>
        </w:rPr>
      </w:pPr>
      <w:r>
        <w:rPr>
          <w:i/>
          <w:u w:val="single"/>
        </w:rPr>
        <w:t>Achat</w:t>
      </w:r>
      <w:r w:rsidR="00E21149" w:rsidRPr="00804F45">
        <w:rPr>
          <w:i/>
          <w:u w:val="single"/>
        </w:rPr>
        <w:t xml:space="preserve"> : </w:t>
      </w:r>
    </w:p>
    <w:p w:rsidR="00E21149" w:rsidRDefault="00E5743E" w:rsidP="00E5743E">
      <w:pPr>
        <w:jc w:val="both"/>
      </w:pPr>
      <w:r w:rsidRPr="00E5743E">
        <w:t xml:space="preserve">Tout </w:t>
      </w:r>
      <w:r>
        <w:t xml:space="preserve">achat de bouteille de gaz doit être </w:t>
      </w:r>
      <w:r w:rsidRPr="00995F78">
        <w:rPr>
          <w:b/>
        </w:rPr>
        <w:t xml:space="preserve">validé par </w:t>
      </w:r>
      <w:r w:rsidR="0069128D">
        <w:rPr>
          <w:b/>
        </w:rPr>
        <w:t>T. Been</w:t>
      </w:r>
      <w:r w:rsidR="00B60C9E">
        <w:rPr>
          <w:b/>
        </w:rPr>
        <w:t xml:space="preserve">, F. </w:t>
      </w:r>
      <w:proofErr w:type="spellStart"/>
      <w:r w:rsidR="00B60C9E">
        <w:rPr>
          <w:b/>
        </w:rPr>
        <w:t>Lemarié</w:t>
      </w:r>
      <w:proofErr w:type="spellEnd"/>
      <w:r w:rsidR="00B60C9E">
        <w:rPr>
          <w:b/>
        </w:rPr>
        <w:t>, S. Girard</w:t>
      </w:r>
      <w:r w:rsidR="0069128D">
        <w:rPr>
          <w:b/>
        </w:rPr>
        <w:t xml:space="preserve"> ou Q. Legrand</w:t>
      </w:r>
      <w:r>
        <w:t xml:space="preserve"> (signature du formulaire de précommande). </w:t>
      </w:r>
    </w:p>
    <w:p w:rsidR="00E5743E" w:rsidRPr="00F74CD4" w:rsidRDefault="00E5743E" w:rsidP="00F74CD4">
      <w:pPr>
        <w:rPr>
          <w:sz w:val="16"/>
          <w:szCs w:val="16"/>
          <w:u w:val="single"/>
        </w:rPr>
      </w:pPr>
    </w:p>
    <w:p w:rsidR="00E5743E" w:rsidRPr="00995F78" w:rsidRDefault="00E5743E" w:rsidP="00E5743E">
      <w:pPr>
        <w:pStyle w:val="Paragraphedeliste"/>
        <w:numPr>
          <w:ilvl w:val="0"/>
          <w:numId w:val="17"/>
        </w:numPr>
        <w:jc w:val="both"/>
        <w:rPr>
          <w:i/>
          <w:u w:val="single"/>
        </w:rPr>
      </w:pPr>
      <w:r w:rsidRPr="00995F78">
        <w:rPr>
          <w:i/>
          <w:u w:val="single"/>
        </w:rPr>
        <w:t xml:space="preserve">Avant l’installation : </w:t>
      </w:r>
    </w:p>
    <w:p w:rsidR="00E5743E" w:rsidRDefault="00E5743E" w:rsidP="00E5743E">
      <w:pPr>
        <w:jc w:val="both"/>
      </w:pPr>
      <w:r>
        <w:t xml:space="preserve">Avant d’installer un nouveau montage, vous devez : </w:t>
      </w:r>
    </w:p>
    <w:p w:rsidR="00E5743E" w:rsidRDefault="00E5743E" w:rsidP="00E5743E">
      <w:pPr>
        <w:pStyle w:val="Paragraphedeliste"/>
        <w:numPr>
          <w:ilvl w:val="1"/>
          <w:numId w:val="17"/>
        </w:numPr>
        <w:jc w:val="both"/>
      </w:pPr>
      <w:r>
        <w:t xml:space="preserve">Prévenir la cellule QSE qui vous fournira la </w:t>
      </w:r>
      <w:r w:rsidRPr="00995F78">
        <w:rPr>
          <w:b/>
        </w:rPr>
        <w:t>Fiche de Données de Sécurité</w:t>
      </w:r>
      <w:r>
        <w:t xml:space="preserve"> du gaz et déterminera si une détection de gaz est nécessaire</w:t>
      </w:r>
    </w:p>
    <w:p w:rsidR="00E5743E" w:rsidRDefault="00E5743E" w:rsidP="00E5743E">
      <w:pPr>
        <w:pStyle w:val="Paragraphedeliste"/>
        <w:numPr>
          <w:ilvl w:val="1"/>
          <w:numId w:val="17"/>
        </w:numPr>
        <w:jc w:val="both"/>
      </w:pPr>
      <w:r>
        <w:t xml:space="preserve">Utiliser les </w:t>
      </w:r>
      <w:r w:rsidRPr="00995F78">
        <w:rPr>
          <w:b/>
        </w:rPr>
        <w:t>accessoires compatibles</w:t>
      </w:r>
      <w:r>
        <w:t xml:space="preserve"> au gaz choisi : </w:t>
      </w:r>
    </w:p>
    <w:p w:rsidR="00E5743E" w:rsidRDefault="00E5743E" w:rsidP="00E5743E">
      <w:pPr>
        <w:pStyle w:val="Paragraphedeliste"/>
        <w:numPr>
          <w:ilvl w:val="2"/>
          <w:numId w:val="17"/>
        </w:numPr>
        <w:jc w:val="both"/>
      </w:pPr>
      <w:r>
        <w:t>Au GANIL, les accessoires sont à votre disposition dans l’armoire de la salle de montage BCI001</w:t>
      </w:r>
    </w:p>
    <w:p w:rsidR="00E5743E" w:rsidRPr="00995F78" w:rsidRDefault="00EB44B9" w:rsidP="00E5743E">
      <w:pPr>
        <w:pStyle w:val="Paragraphedeliste"/>
        <w:numPr>
          <w:ilvl w:val="2"/>
          <w:numId w:val="17"/>
        </w:numPr>
        <w:jc w:val="both"/>
        <w:rPr>
          <w:b/>
        </w:rPr>
      </w:pPr>
      <w:r>
        <w:rPr>
          <w:b/>
        </w:rPr>
        <w:t>Remplir le formulaire</w:t>
      </w:r>
      <w:r w:rsidR="00E5743E" w:rsidRPr="00995F78">
        <w:rPr>
          <w:b/>
        </w:rPr>
        <w:t xml:space="preserve"> </w:t>
      </w:r>
      <w:r w:rsidR="00B60C9E">
        <w:rPr>
          <w:b/>
        </w:rPr>
        <w:t xml:space="preserve">CIMAP-FORM-QSE-021 </w:t>
      </w:r>
      <w:r w:rsidR="00E5743E" w:rsidRPr="00995F78">
        <w:rPr>
          <w:b/>
        </w:rPr>
        <w:t>pour l’emprunt du matériel</w:t>
      </w:r>
    </w:p>
    <w:p w:rsidR="00E5743E" w:rsidRDefault="00E5743E" w:rsidP="00E5743E">
      <w:pPr>
        <w:pStyle w:val="Paragraphedeliste"/>
        <w:numPr>
          <w:ilvl w:val="2"/>
          <w:numId w:val="17"/>
        </w:numPr>
        <w:jc w:val="both"/>
      </w:pPr>
      <w:r>
        <w:t>A l’ENSI, s’adresser à T. Been pour la mise à disposition des accessoires</w:t>
      </w:r>
    </w:p>
    <w:p w:rsidR="00E5743E" w:rsidRPr="00F74CD4" w:rsidRDefault="00E5743E" w:rsidP="00F74CD4">
      <w:pPr>
        <w:rPr>
          <w:sz w:val="16"/>
          <w:szCs w:val="16"/>
          <w:u w:val="single"/>
        </w:rPr>
      </w:pPr>
    </w:p>
    <w:p w:rsidR="00E5743E" w:rsidRPr="00995F78" w:rsidRDefault="00995F78" w:rsidP="00995F78">
      <w:pPr>
        <w:pStyle w:val="Paragraphedeliste"/>
        <w:numPr>
          <w:ilvl w:val="0"/>
          <w:numId w:val="17"/>
        </w:numPr>
        <w:jc w:val="both"/>
        <w:rPr>
          <w:i/>
          <w:u w:val="single"/>
        </w:rPr>
      </w:pPr>
      <w:r w:rsidRPr="00995F78">
        <w:rPr>
          <w:i/>
          <w:u w:val="single"/>
        </w:rPr>
        <w:t xml:space="preserve">Mise en service : </w:t>
      </w:r>
    </w:p>
    <w:p w:rsidR="00995F78" w:rsidRDefault="00995F78" w:rsidP="00995F78">
      <w:pPr>
        <w:pStyle w:val="Paragraphedeliste"/>
        <w:numPr>
          <w:ilvl w:val="1"/>
          <w:numId w:val="17"/>
        </w:numPr>
        <w:jc w:val="both"/>
      </w:pPr>
      <w:r w:rsidRPr="00995F78">
        <w:rPr>
          <w:b/>
        </w:rPr>
        <w:t xml:space="preserve">Arrimer </w:t>
      </w:r>
      <w:r>
        <w:t>la bouteille</w:t>
      </w:r>
    </w:p>
    <w:p w:rsidR="00995F78" w:rsidRDefault="00995F78" w:rsidP="00995F78">
      <w:pPr>
        <w:pStyle w:val="Paragraphedeliste"/>
        <w:numPr>
          <w:ilvl w:val="1"/>
          <w:numId w:val="17"/>
        </w:numPr>
        <w:jc w:val="both"/>
      </w:pPr>
      <w:r>
        <w:t>Vérifier la compatibilité des accessoires</w:t>
      </w:r>
    </w:p>
    <w:p w:rsidR="00863192" w:rsidRDefault="00863192" w:rsidP="00995F78">
      <w:pPr>
        <w:pStyle w:val="Paragraphedeliste"/>
        <w:numPr>
          <w:ilvl w:val="1"/>
          <w:numId w:val="17"/>
        </w:numPr>
        <w:jc w:val="both"/>
      </w:pPr>
      <w:r>
        <w:t xml:space="preserve">Utiliser </w:t>
      </w:r>
      <w:r w:rsidRPr="00863192">
        <w:rPr>
          <w:b/>
        </w:rPr>
        <w:t>des flexibles semi-rigide</w:t>
      </w:r>
      <w:r w:rsidR="00F74CD4">
        <w:rPr>
          <w:b/>
        </w:rPr>
        <w:t>s</w:t>
      </w:r>
      <w:r w:rsidRPr="00863192">
        <w:rPr>
          <w:b/>
        </w:rPr>
        <w:t xml:space="preserve"> en inox</w:t>
      </w:r>
      <w:r>
        <w:t xml:space="preserve"> dès lors que vous travaillez </w:t>
      </w:r>
      <w:r w:rsidR="00F74CD4">
        <w:t>en</w:t>
      </w:r>
      <w:r>
        <w:t xml:space="preserve"> </w:t>
      </w:r>
      <w:r w:rsidR="00F74CD4">
        <w:t>haute</w:t>
      </w:r>
      <w:r>
        <w:t xml:space="preserve"> </w:t>
      </w:r>
      <w:r w:rsidR="00F74CD4">
        <w:t>pression</w:t>
      </w:r>
      <w:r>
        <w:t xml:space="preserve"> (supérieur</w:t>
      </w:r>
      <w:r w:rsidR="00F74CD4">
        <w:t>e</w:t>
      </w:r>
      <w:r>
        <w:t xml:space="preserve"> à 10 bars), avec des gaz dangereux (inflammable, corrosif ou toxique) et si des liquides cryogéniques sont utilisés à proximité </w:t>
      </w:r>
    </w:p>
    <w:p w:rsidR="00995F78" w:rsidRDefault="00995F78" w:rsidP="00995F78">
      <w:pPr>
        <w:pStyle w:val="Paragraphedeliste"/>
        <w:numPr>
          <w:ilvl w:val="1"/>
          <w:numId w:val="17"/>
        </w:numPr>
        <w:jc w:val="both"/>
      </w:pPr>
      <w:r>
        <w:t xml:space="preserve">Installer un </w:t>
      </w:r>
      <w:r w:rsidRPr="00995F78">
        <w:rPr>
          <w:b/>
        </w:rPr>
        <w:t>câble anti-fouet</w:t>
      </w:r>
      <w:r>
        <w:t xml:space="preserve"> sur vos flexibles</w:t>
      </w:r>
      <w:r w:rsidR="00863192">
        <w:t xml:space="preserve"> dès lors que la pression d’utilisation est supérieure à 3bars</w:t>
      </w:r>
    </w:p>
    <w:p w:rsidR="00995F78" w:rsidRPr="000B51E7" w:rsidRDefault="00995F78" w:rsidP="00995F78">
      <w:pPr>
        <w:pStyle w:val="Paragraphedeliste"/>
        <w:numPr>
          <w:ilvl w:val="1"/>
          <w:numId w:val="17"/>
        </w:numPr>
        <w:jc w:val="both"/>
      </w:pPr>
      <w:r>
        <w:t xml:space="preserve">Réaliser un </w:t>
      </w:r>
      <w:r w:rsidRPr="00995F78">
        <w:rPr>
          <w:b/>
        </w:rPr>
        <w:t>test de fuite</w:t>
      </w:r>
      <w:r w:rsidR="00F74CD4">
        <w:rPr>
          <w:b/>
        </w:rPr>
        <w:t xml:space="preserve"> (</w:t>
      </w:r>
      <w:r w:rsidR="00F74CD4" w:rsidRPr="002D1845">
        <w:t>1000 bulles ou stabilisation de la pression sur 10min)</w:t>
      </w:r>
    </w:p>
    <w:p w:rsidR="000B51E7" w:rsidRDefault="000B51E7" w:rsidP="00995F78">
      <w:pPr>
        <w:pStyle w:val="Paragraphedeliste"/>
        <w:numPr>
          <w:ilvl w:val="1"/>
          <w:numId w:val="17"/>
        </w:numPr>
        <w:jc w:val="both"/>
      </w:pPr>
      <w:r>
        <w:rPr>
          <w:b/>
        </w:rPr>
        <w:t xml:space="preserve">Mettre en place les affichages </w:t>
      </w:r>
      <w:r w:rsidRPr="000B51E7">
        <w:t>aux entrées de salles signalant le type de gaz utilisé et les risques associés</w:t>
      </w:r>
    </w:p>
    <w:p w:rsidR="00594FBE" w:rsidRDefault="00594FBE" w:rsidP="00995F78">
      <w:pPr>
        <w:pStyle w:val="Paragraphedeliste"/>
        <w:numPr>
          <w:ilvl w:val="1"/>
          <w:numId w:val="17"/>
        </w:numPr>
        <w:jc w:val="both"/>
      </w:pPr>
      <w:r>
        <w:rPr>
          <w:b/>
        </w:rPr>
        <w:t xml:space="preserve">Mettre à la terre </w:t>
      </w:r>
      <w:r w:rsidRPr="00594FBE">
        <w:t>vos montages et ne pas réaliser de</w:t>
      </w:r>
      <w:r>
        <w:rPr>
          <w:b/>
        </w:rPr>
        <w:t xml:space="preserve"> travaux par points chauds </w:t>
      </w:r>
      <w:r w:rsidRPr="00594FBE">
        <w:t>lors de l’utilisation de</w:t>
      </w:r>
      <w:r>
        <w:rPr>
          <w:b/>
        </w:rPr>
        <w:t xml:space="preserve"> gaz inflammables</w:t>
      </w:r>
    </w:p>
    <w:p w:rsidR="00995F78" w:rsidRPr="00E5743E" w:rsidRDefault="00995F78" w:rsidP="00995F78">
      <w:pPr>
        <w:pStyle w:val="Paragraphedeliste"/>
        <w:numPr>
          <w:ilvl w:val="1"/>
          <w:numId w:val="17"/>
        </w:numPr>
        <w:jc w:val="both"/>
      </w:pPr>
      <w:r w:rsidRPr="00995F78">
        <w:rPr>
          <w:b/>
        </w:rPr>
        <w:t>Prévenir la cellule QSE</w:t>
      </w:r>
      <w:r>
        <w:t xml:space="preserve"> pour une vérification du montage</w:t>
      </w:r>
      <w:r w:rsidR="00C80CA3">
        <w:t xml:space="preserve"> et mise en service de la détection de gaz si nécessaire</w:t>
      </w:r>
    </w:p>
    <w:p w:rsidR="00E5743E" w:rsidRPr="00F74CD4" w:rsidRDefault="00E5743E" w:rsidP="00F74CD4">
      <w:pPr>
        <w:rPr>
          <w:sz w:val="16"/>
          <w:szCs w:val="16"/>
          <w:u w:val="single"/>
        </w:rPr>
      </w:pPr>
    </w:p>
    <w:p w:rsidR="00995F78" w:rsidRPr="00995F78" w:rsidRDefault="00995F78" w:rsidP="00995F78">
      <w:pPr>
        <w:pStyle w:val="Paragraphedeliste"/>
        <w:numPr>
          <w:ilvl w:val="0"/>
          <w:numId w:val="17"/>
        </w:numPr>
        <w:jc w:val="both"/>
        <w:rPr>
          <w:i/>
          <w:u w:val="single"/>
        </w:rPr>
      </w:pPr>
      <w:r w:rsidRPr="00995F78">
        <w:rPr>
          <w:i/>
          <w:u w:val="single"/>
        </w:rPr>
        <w:t xml:space="preserve">Après utilisation : </w:t>
      </w:r>
    </w:p>
    <w:p w:rsidR="00995F78" w:rsidRDefault="00995F78" w:rsidP="00995F78">
      <w:pPr>
        <w:pStyle w:val="Paragraphedeliste"/>
        <w:numPr>
          <w:ilvl w:val="1"/>
          <w:numId w:val="17"/>
        </w:numPr>
        <w:jc w:val="both"/>
      </w:pPr>
      <w:r w:rsidRPr="00995F78">
        <w:rPr>
          <w:b/>
        </w:rPr>
        <w:t>Démonter les accessoires</w:t>
      </w:r>
      <w:r>
        <w:t xml:space="preserve"> et les remettre dans l’armoire dédiée (ou prévenir T. Been pour l’ENSI) et remplir le formulaire</w:t>
      </w:r>
    </w:p>
    <w:p w:rsidR="00995F78" w:rsidRPr="00995F78" w:rsidRDefault="00995F78" w:rsidP="00995F78">
      <w:pPr>
        <w:pStyle w:val="Paragraphedeliste"/>
        <w:numPr>
          <w:ilvl w:val="1"/>
          <w:numId w:val="17"/>
        </w:numPr>
        <w:jc w:val="both"/>
        <w:rPr>
          <w:b/>
        </w:rPr>
      </w:pPr>
      <w:r w:rsidRPr="00995F78">
        <w:rPr>
          <w:b/>
        </w:rPr>
        <w:t>Rapporter la bouteille dans les parcs de stockage extérieur</w:t>
      </w:r>
    </w:p>
    <w:p w:rsidR="00995F78" w:rsidRDefault="00995F78" w:rsidP="00995F78">
      <w:pPr>
        <w:pStyle w:val="Paragraphedeliste"/>
        <w:numPr>
          <w:ilvl w:val="1"/>
          <w:numId w:val="17"/>
        </w:numPr>
        <w:jc w:val="both"/>
      </w:pPr>
      <w:r>
        <w:t>Prévenir la cellule QSE pour l’arrêt des détections gaz</w:t>
      </w:r>
    </w:p>
    <w:p w:rsidR="00995F78" w:rsidRDefault="00995F78" w:rsidP="00995F78">
      <w:pPr>
        <w:pStyle w:val="Paragraphedeliste"/>
        <w:numPr>
          <w:ilvl w:val="1"/>
          <w:numId w:val="17"/>
        </w:numPr>
        <w:jc w:val="both"/>
      </w:pPr>
      <w:r>
        <w:t>Signaler à la cellule QSE toute détérioration des accessoires</w:t>
      </w:r>
    </w:p>
    <w:p w:rsidR="00995F78" w:rsidRPr="00F74CD4" w:rsidRDefault="00995F78" w:rsidP="00F74CD4">
      <w:pPr>
        <w:rPr>
          <w:sz w:val="16"/>
          <w:szCs w:val="16"/>
          <w:u w:val="single"/>
        </w:rPr>
      </w:pPr>
    </w:p>
    <w:p w:rsidR="00995F78" w:rsidRPr="00995F78" w:rsidRDefault="00995F78" w:rsidP="00995F78">
      <w:pPr>
        <w:pStyle w:val="Paragraphedeliste"/>
        <w:numPr>
          <w:ilvl w:val="0"/>
          <w:numId w:val="17"/>
        </w:numPr>
        <w:jc w:val="both"/>
        <w:rPr>
          <w:i/>
          <w:u w:val="single"/>
        </w:rPr>
      </w:pPr>
      <w:r w:rsidRPr="00995F78">
        <w:rPr>
          <w:i/>
          <w:u w:val="single"/>
        </w:rPr>
        <w:t xml:space="preserve">Mise au rebut : </w:t>
      </w:r>
    </w:p>
    <w:p w:rsidR="00995F78" w:rsidRPr="00995F78" w:rsidRDefault="00995F78" w:rsidP="00995F78">
      <w:pPr>
        <w:pStyle w:val="Paragraphedeliste"/>
        <w:numPr>
          <w:ilvl w:val="1"/>
          <w:numId w:val="17"/>
        </w:numPr>
        <w:jc w:val="both"/>
        <w:rPr>
          <w:b/>
        </w:rPr>
      </w:pPr>
      <w:r w:rsidRPr="00995F78">
        <w:rPr>
          <w:b/>
        </w:rPr>
        <w:t>Signaler les bouteilles vides à T. Been</w:t>
      </w:r>
    </w:p>
    <w:p w:rsidR="00995F78" w:rsidRDefault="00995F78" w:rsidP="00995F78">
      <w:pPr>
        <w:pStyle w:val="Paragraphedeliste"/>
        <w:numPr>
          <w:ilvl w:val="1"/>
          <w:numId w:val="17"/>
        </w:numPr>
        <w:jc w:val="both"/>
      </w:pPr>
      <w:r>
        <w:t xml:space="preserve">Au </w:t>
      </w:r>
      <w:r w:rsidRPr="00995F78">
        <w:rPr>
          <w:b/>
        </w:rPr>
        <w:t>GANIL</w:t>
      </w:r>
      <w:r>
        <w:t xml:space="preserve"> </w:t>
      </w:r>
      <w:r w:rsidR="00C80CA3">
        <w:t>les rapporter à T. Been pour dépôt</w:t>
      </w:r>
      <w:r>
        <w:t xml:space="preserve"> dans </w:t>
      </w:r>
      <w:r w:rsidRPr="00995F78">
        <w:rPr>
          <w:b/>
        </w:rPr>
        <w:t>le panier situé derrière le BIP</w:t>
      </w:r>
      <w:r w:rsidR="00C80CA3">
        <w:rPr>
          <w:b/>
        </w:rPr>
        <w:t xml:space="preserve"> après contrôle du SPR</w:t>
      </w:r>
    </w:p>
    <w:p w:rsidR="005815FA" w:rsidRPr="00804F45" w:rsidRDefault="00995F78" w:rsidP="00DB5413">
      <w:pPr>
        <w:pStyle w:val="Paragraphedeliste"/>
        <w:numPr>
          <w:ilvl w:val="1"/>
          <w:numId w:val="17"/>
        </w:numPr>
        <w:jc w:val="both"/>
      </w:pPr>
      <w:r>
        <w:t xml:space="preserve">A </w:t>
      </w:r>
      <w:r w:rsidRPr="00995F78">
        <w:rPr>
          <w:b/>
        </w:rPr>
        <w:t>l’ENSI</w:t>
      </w:r>
      <w:r>
        <w:t xml:space="preserve"> les rapporter à </w:t>
      </w:r>
      <w:r w:rsidRPr="00995F78">
        <w:rPr>
          <w:b/>
        </w:rPr>
        <w:t xml:space="preserve">JP. </w:t>
      </w:r>
      <w:proofErr w:type="spellStart"/>
      <w:r w:rsidRPr="00995F78">
        <w:rPr>
          <w:b/>
        </w:rPr>
        <w:t>Salandin</w:t>
      </w:r>
      <w:proofErr w:type="spellEnd"/>
    </w:p>
    <w:sectPr w:rsidR="005815FA" w:rsidRPr="00804F45" w:rsidSect="00590007">
      <w:headerReference w:type="default" r:id="rId7"/>
      <w:footerReference w:type="default" r:id="rId8"/>
      <w:type w:val="continuous"/>
      <w:pgSz w:w="11906" w:h="16838" w:code="9"/>
      <w:pgMar w:top="1440" w:right="1080" w:bottom="1440" w:left="1080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43E" w:rsidRDefault="00E5743E">
      <w:r>
        <w:separator/>
      </w:r>
    </w:p>
  </w:endnote>
  <w:endnote w:type="continuationSeparator" w:id="0">
    <w:p w:rsidR="00E5743E" w:rsidRDefault="00E57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3E" w:rsidRDefault="00E5743E">
    <w:pPr>
      <w:pStyle w:val="Pieddepage"/>
      <w:rPr>
        <w:color w:val="000000"/>
        <w:sz w:val="16"/>
        <w:szCs w:val="16"/>
      </w:rPr>
    </w:pPr>
    <w:r>
      <w:tab/>
    </w:r>
    <w:r>
      <w:tab/>
    </w:r>
    <w:r>
      <w:tab/>
    </w:r>
    <w:r>
      <w:rPr>
        <w:color w:val="000000"/>
        <w:sz w:val="16"/>
        <w:szCs w:val="16"/>
      </w:rPr>
      <w:t xml:space="preserve">Page </w:t>
    </w:r>
    <w:r w:rsidR="009F01F1">
      <w:rPr>
        <w:rStyle w:val="Numrodepage"/>
        <w:color w:val="000000"/>
        <w:sz w:val="16"/>
        <w:szCs w:val="16"/>
      </w:rPr>
      <w:fldChar w:fldCharType="begin"/>
    </w:r>
    <w:r>
      <w:rPr>
        <w:rStyle w:val="Numrodepage"/>
        <w:color w:val="000000"/>
        <w:sz w:val="16"/>
        <w:szCs w:val="16"/>
      </w:rPr>
      <w:instrText xml:space="preserve"> PAGE </w:instrText>
    </w:r>
    <w:r w:rsidR="009F01F1">
      <w:rPr>
        <w:rStyle w:val="Numrodepage"/>
        <w:color w:val="000000"/>
        <w:sz w:val="16"/>
        <w:szCs w:val="16"/>
      </w:rPr>
      <w:fldChar w:fldCharType="separate"/>
    </w:r>
    <w:r w:rsidR="00F74CD4">
      <w:rPr>
        <w:rStyle w:val="Numrodepage"/>
        <w:noProof/>
        <w:color w:val="000000"/>
        <w:sz w:val="16"/>
        <w:szCs w:val="16"/>
      </w:rPr>
      <w:t>1</w:t>
    </w:r>
    <w:r w:rsidR="009F01F1">
      <w:rPr>
        <w:rStyle w:val="Numrodepage"/>
        <w:color w:val="00000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43E" w:rsidRDefault="00E5743E">
      <w:r>
        <w:separator/>
      </w:r>
    </w:p>
  </w:footnote>
  <w:footnote w:type="continuationSeparator" w:id="0">
    <w:p w:rsidR="00E5743E" w:rsidRDefault="00E57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1"/>
      <w:tblOverlap w:val="never"/>
      <w:tblW w:w="105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BF"/>
    </w:tblPr>
    <w:tblGrid>
      <w:gridCol w:w="2509"/>
      <w:gridCol w:w="5571"/>
      <w:gridCol w:w="2479"/>
    </w:tblGrid>
    <w:tr w:rsidR="00E5743E" w:rsidRPr="00C264C4" w:rsidTr="00590007">
      <w:trPr>
        <w:trHeight w:val="556"/>
      </w:trPr>
      <w:tc>
        <w:tcPr>
          <w:tcW w:w="2509" w:type="dxa"/>
          <w:vMerge w:val="restart"/>
        </w:tcPr>
        <w:p w:rsidR="00E5743E" w:rsidRPr="00534EC6" w:rsidRDefault="00E5743E" w:rsidP="00590007">
          <w:r w:rsidRPr="00DF7919">
            <w:rPr>
              <w:noProof/>
            </w:rPr>
            <w:drawing>
              <wp:inline distT="0" distB="0" distL="0" distR="0">
                <wp:extent cx="1391285" cy="538480"/>
                <wp:effectExtent l="19050" t="0" r="0" b="0"/>
                <wp:docPr id="1" name="Image 1" descr="lettre ha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ttre hau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285" cy="53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1" w:type="dxa"/>
          <w:vMerge w:val="restart"/>
        </w:tcPr>
        <w:p w:rsidR="00E5743E" w:rsidRPr="00534EC6" w:rsidRDefault="00E5743E" w:rsidP="00590007">
          <w:pPr>
            <w:pStyle w:val="En-tte"/>
            <w:jc w:val="center"/>
            <w:rPr>
              <w:rFonts w:ascii="Arial Narrow" w:hAnsi="Arial Narrow"/>
              <w:b/>
              <w:sz w:val="32"/>
            </w:rPr>
          </w:pPr>
          <w:r w:rsidRPr="00C264C4">
            <w:rPr>
              <w:rFonts w:ascii="Arial Narrow" w:hAnsi="Arial Narrow"/>
            </w:rPr>
            <w:br/>
          </w:r>
          <w:r>
            <w:rPr>
              <w:rFonts w:ascii="Arial Narrow" w:hAnsi="Arial Narrow"/>
              <w:b/>
              <w:sz w:val="32"/>
            </w:rPr>
            <w:t>Cellule QSE</w:t>
          </w:r>
        </w:p>
      </w:tc>
      <w:tc>
        <w:tcPr>
          <w:tcW w:w="2479" w:type="dxa"/>
          <w:shd w:val="clear" w:color="auto" w:fill="F3F3F3"/>
          <w:vAlign w:val="center"/>
        </w:tcPr>
        <w:p w:rsidR="00E5743E" w:rsidRPr="00534EC6" w:rsidRDefault="00E5743E" w:rsidP="00590007">
          <w:pPr>
            <w:pStyle w:val="En-tte"/>
            <w:jc w:val="center"/>
            <w:rPr>
              <w:rFonts w:ascii="Arial Narrow" w:hAnsi="Arial Narrow"/>
              <w:b/>
              <w:sz w:val="32"/>
            </w:rPr>
          </w:pPr>
          <w:r>
            <w:rPr>
              <w:rFonts w:ascii="Arial Narrow" w:hAnsi="Arial Narrow"/>
              <w:b/>
              <w:outline/>
              <w:sz w:val="32"/>
            </w:rPr>
            <w:t>INSTRUCTION</w:t>
          </w:r>
        </w:p>
      </w:tc>
    </w:tr>
    <w:tr w:rsidR="00E5743E" w:rsidRPr="00C264C4" w:rsidTr="00590007">
      <w:trPr>
        <w:trHeight w:val="274"/>
      </w:trPr>
      <w:tc>
        <w:tcPr>
          <w:tcW w:w="2509" w:type="dxa"/>
          <w:vMerge/>
          <w:vAlign w:val="center"/>
        </w:tcPr>
        <w:p w:rsidR="00E5743E" w:rsidRPr="006B583B" w:rsidRDefault="00E5743E" w:rsidP="00590007">
          <w:pPr>
            <w:pStyle w:val="En-tte"/>
            <w:jc w:val="center"/>
            <w:rPr>
              <w:rFonts w:ascii="Arial Narrow" w:hAnsi="Arial Narrow"/>
              <w:color w:val="808080"/>
            </w:rPr>
          </w:pPr>
        </w:p>
      </w:tc>
      <w:tc>
        <w:tcPr>
          <w:tcW w:w="5571" w:type="dxa"/>
          <w:vMerge/>
        </w:tcPr>
        <w:p w:rsidR="00E5743E" w:rsidRPr="00C264C4" w:rsidRDefault="00E5743E" w:rsidP="00590007">
          <w:pPr>
            <w:pStyle w:val="En-tte"/>
            <w:jc w:val="center"/>
            <w:rPr>
              <w:rFonts w:ascii="Arial Narrow" w:hAnsi="Arial Narrow"/>
            </w:rPr>
          </w:pPr>
        </w:p>
      </w:tc>
      <w:tc>
        <w:tcPr>
          <w:tcW w:w="2479" w:type="dxa"/>
          <w:vAlign w:val="center"/>
        </w:tcPr>
        <w:p w:rsidR="00E5743E" w:rsidRDefault="00E5743E" w:rsidP="00590007">
          <w:pPr>
            <w:pStyle w:val="En-tte"/>
            <w:jc w:val="center"/>
            <w:rPr>
              <w:rFonts w:ascii="Arial Narrow" w:hAnsi="Arial Narrow"/>
              <w:sz w:val="22"/>
            </w:rPr>
          </w:pPr>
          <w:r>
            <w:rPr>
              <w:rFonts w:ascii="Arial Narrow" w:hAnsi="Arial Narrow"/>
              <w:sz w:val="22"/>
            </w:rPr>
            <w:t>Issue de la procédure QSE</w:t>
          </w:r>
        </w:p>
        <w:p w:rsidR="00E5743E" w:rsidRPr="007D6AF9" w:rsidRDefault="00E5743E" w:rsidP="00590007">
          <w:pPr>
            <w:pStyle w:val="En-tte"/>
            <w:jc w:val="center"/>
            <w:rPr>
              <w:rFonts w:ascii="Arial Narrow" w:hAnsi="Arial Narrow"/>
              <w:sz w:val="22"/>
            </w:rPr>
          </w:pPr>
        </w:p>
      </w:tc>
    </w:tr>
    <w:tr w:rsidR="00E5743E" w:rsidRPr="00C264C4" w:rsidTr="00590007">
      <w:tc>
        <w:tcPr>
          <w:tcW w:w="2509" w:type="dxa"/>
          <w:vAlign w:val="center"/>
        </w:tcPr>
        <w:p w:rsidR="00E5743E" w:rsidRPr="00253ABD" w:rsidRDefault="00E5743E" w:rsidP="00590007">
          <w:pPr>
            <w:pStyle w:val="En-tte"/>
            <w:jc w:val="center"/>
            <w:rPr>
              <w:rFonts w:ascii="Arial Narrow" w:hAnsi="Arial Narrow"/>
              <w:sz w:val="22"/>
              <w:lang w:val="en-GB"/>
            </w:rPr>
          </w:pPr>
          <w:proofErr w:type="spellStart"/>
          <w:r w:rsidRPr="00253ABD">
            <w:rPr>
              <w:rFonts w:ascii="Arial Narrow" w:hAnsi="Arial Narrow"/>
              <w:sz w:val="22"/>
              <w:lang w:val="en-GB"/>
            </w:rPr>
            <w:t>Réf</w:t>
          </w:r>
          <w:proofErr w:type="spellEnd"/>
          <w:r w:rsidRPr="00253ABD">
            <w:rPr>
              <w:rFonts w:ascii="Arial Narrow" w:hAnsi="Arial Narrow"/>
              <w:sz w:val="22"/>
              <w:lang w:val="en-GB"/>
            </w:rPr>
            <w:t xml:space="preserve">. </w:t>
          </w:r>
          <w:r>
            <w:rPr>
              <w:rFonts w:ascii="Arial Narrow" w:hAnsi="Arial Narrow"/>
              <w:sz w:val="22"/>
              <w:lang w:val="en-GB"/>
            </w:rPr>
            <w:t>CIMAP</w:t>
          </w:r>
          <w:r w:rsidRPr="00253ABD">
            <w:rPr>
              <w:rFonts w:ascii="Arial Narrow" w:hAnsi="Arial Narrow"/>
              <w:sz w:val="22"/>
              <w:lang w:val="en-GB"/>
            </w:rPr>
            <w:t>-</w:t>
          </w:r>
          <w:r>
            <w:rPr>
              <w:rFonts w:ascii="Arial Narrow" w:hAnsi="Arial Narrow"/>
              <w:sz w:val="22"/>
              <w:lang w:val="en-GB"/>
            </w:rPr>
            <w:t>INS</w:t>
          </w:r>
          <w:r w:rsidRPr="00253ABD">
            <w:rPr>
              <w:rFonts w:ascii="Arial Narrow" w:hAnsi="Arial Narrow"/>
              <w:sz w:val="22"/>
              <w:lang w:val="en-GB"/>
            </w:rPr>
            <w:t>-</w:t>
          </w:r>
          <w:r>
            <w:rPr>
              <w:rFonts w:ascii="Arial Narrow" w:hAnsi="Arial Narrow"/>
              <w:sz w:val="22"/>
              <w:lang w:val="en-GB"/>
            </w:rPr>
            <w:t>QSE</w:t>
          </w:r>
          <w:r w:rsidRPr="00253ABD">
            <w:rPr>
              <w:rFonts w:ascii="Arial Narrow" w:hAnsi="Arial Narrow"/>
              <w:sz w:val="22"/>
              <w:lang w:val="en-GB"/>
            </w:rPr>
            <w:t>-</w:t>
          </w:r>
          <w:r>
            <w:rPr>
              <w:rFonts w:ascii="Arial Narrow" w:hAnsi="Arial Narrow"/>
              <w:sz w:val="22"/>
              <w:lang w:val="en-GB"/>
            </w:rPr>
            <w:t>12</w:t>
          </w:r>
        </w:p>
        <w:p w:rsidR="00E5743E" w:rsidRPr="00253ABD" w:rsidRDefault="00E5743E" w:rsidP="00590007">
          <w:pPr>
            <w:pStyle w:val="En-tte"/>
            <w:jc w:val="center"/>
            <w:rPr>
              <w:rFonts w:ascii="Arial Narrow" w:hAnsi="Arial Narrow"/>
              <w:color w:val="808080"/>
              <w:lang w:val="en-GB"/>
            </w:rPr>
          </w:pPr>
        </w:p>
      </w:tc>
      <w:tc>
        <w:tcPr>
          <w:tcW w:w="5571" w:type="dxa"/>
        </w:tcPr>
        <w:p w:rsidR="00E5743E" w:rsidRPr="00D975C0" w:rsidRDefault="00E5743E" w:rsidP="00590007">
          <w:pPr>
            <w:pStyle w:val="En-tte"/>
            <w:jc w:val="center"/>
            <w:rPr>
              <w:rFonts w:ascii="Arial Narrow" w:hAnsi="Arial Narrow"/>
              <w:b/>
              <w:sz w:val="32"/>
            </w:rPr>
          </w:pPr>
          <w:r>
            <w:rPr>
              <w:rFonts w:ascii="Arial" w:hAnsi="Arial"/>
              <w:b/>
              <w:bCs/>
              <w:sz w:val="28"/>
              <w:szCs w:val="28"/>
            </w:rPr>
            <w:t xml:space="preserve">Consignes d’utilisation des bouteilles de gaz </w:t>
          </w:r>
        </w:p>
      </w:tc>
      <w:tc>
        <w:tcPr>
          <w:tcW w:w="2479" w:type="dxa"/>
          <w:vAlign w:val="center"/>
        </w:tcPr>
        <w:p w:rsidR="00E5743E" w:rsidRPr="007D6AF9" w:rsidRDefault="00E5743E" w:rsidP="00590007">
          <w:pPr>
            <w:pStyle w:val="En-tte"/>
            <w:rPr>
              <w:rFonts w:ascii="Arial Narrow" w:hAnsi="Arial Narrow"/>
              <w:sz w:val="22"/>
            </w:rPr>
          </w:pPr>
          <w:r w:rsidRPr="007D6AF9">
            <w:rPr>
              <w:rFonts w:ascii="Arial Narrow" w:hAnsi="Arial Narrow"/>
              <w:sz w:val="22"/>
            </w:rPr>
            <w:t>Date de création</w:t>
          </w:r>
        </w:p>
        <w:p w:rsidR="00E5743E" w:rsidRPr="007D6AF9" w:rsidRDefault="00E5743E" w:rsidP="00590007">
          <w:pPr>
            <w:pStyle w:val="En-tte"/>
            <w:jc w:val="right"/>
            <w:rPr>
              <w:rFonts w:ascii="Arial Narrow" w:hAnsi="Arial Narrow"/>
              <w:sz w:val="22"/>
            </w:rPr>
          </w:pPr>
          <w:r>
            <w:rPr>
              <w:rFonts w:ascii="Arial Narrow" w:hAnsi="Arial Narrow"/>
              <w:sz w:val="22"/>
            </w:rPr>
            <w:t>Janvier 14</w:t>
          </w:r>
        </w:p>
        <w:p w:rsidR="00E5743E" w:rsidRPr="007D6AF9" w:rsidRDefault="00F74CD4" w:rsidP="00F74CD4">
          <w:pPr>
            <w:pStyle w:val="En-tte"/>
            <w:rPr>
              <w:rFonts w:ascii="Arial Narrow" w:hAnsi="Arial Narrow"/>
              <w:sz w:val="22"/>
            </w:rPr>
          </w:pPr>
          <w:r>
            <w:rPr>
              <w:rFonts w:ascii="Arial Narrow" w:hAnsi="Arial Narrow"/>
              <w:sz w:val="22"/>
            </w:rPr>
            <w:t>Version 1.2</w:t>
          </w:r>
          <w:r w:rsidR="00594FBE">
            <w:rPr>
              <w:rFonts w:ascii="Arial Narrow" w:hAnsi="Arial Narrow"/>
              <w:sz w:val="22"/>
            </w:rPr>
            <w:t xml:space="preserve"> </w:t>
          </w:r>
          <w:r>
            <w:rPr>
              <w:rFonts w:ascii="Arial Narrow" w:hAnsi="Arial Narrow"/>
              <w:sz w:val="22"/>
            </w:rPr>
            <w:t>Mars 16</w:t>
          </w:r>
        </w:p>
      </w:tc>
    </w:tr>
  </w:tbl>
  <w:p w:rsidR="00E5743E" w:rsidRDefault="00E5743E" w:rsidP="00E641D4">
    <w:pPr>
      <w:pStyle w:val="En-tte"/>
    </w:pPr>
  </w:p>
  <w:p w:rsidR="003375B4" w:rsidRDefault="003375B4" w:rsidP="00E641D4">
    <w:pPr>
      <w:pStyle w:val="En-tte"/>
    </w:pPr>
  </w:p>
  <w:p w:rsidR="003375B4" w:rsidRDefault="003375B4" w:rsidP="00E641D4">
    <w:pPr>
      <w:pStyle w:val="En-tte"/>
    </w:pPr>
  </w:p>
  <w:p w:rsidR="003375B4" w:rsidRDefault="003375B4" w:rsidP="00E641D4">
    <w:pPr>
      <w:pStyle w:val="En-tte"/>
    </w:pPr>
  </w:p>
  <w:p w:rsidR="003375B4" w:rsidRDefault="003375B4" w:rsidP="00E641D4">
    <w:pPr>
      <w:pStyle w:val="En-tte"/>
    </w:pPr>
  </w:p>
  <w:p w:rsidR="003375B4" w:rsidRDefault="003375B4" w:rsidP="00E641D4">
    <w:pPr>
      <w:pStyle w:val="En-tte"/>
    </w:pPr>
  </w:p>
  <w:p w:rsidR="00590007" w:rsidRDefault="00590007" w:rsidP="00E641D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6F4F"/>
    <w:multiLevelType w:val="hybridMultilevel"/>
    <w:tmpl w:val="D64CDCB2"/>
    <w:lvl w:ilvl="0" w:tplc="8544EC10">
      <w:start w:val="1"/>
      <w:numFmt w:val="bullet"/>
      <w:lvlText w:val=""/>
      <w:lvlJc w:val="left"/>
      <w:pPr>
        <w:tabs>
          <w:tab w:val="num" w:pos="0"/>
        </w:tabs>
        <w:ind w:left="34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3943"/>
    <w:multiLevelType w:val="hybridMultilevel"/>
    <w:tmpl w:val="F41EAD9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A454E"/>
    <w:multiLevelType w:val="multilevel"/>
    <w:tmpl w:val="2468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910DEC"/>
    <w:multiLevelType w:val="hybridMultilevel"/>
    <w:tmpl w:val="920C7FB4"/>
    <w:lvl w:ilvl="0" w:tplc="420E834E">
      <w:start w:val="1"/>
      <w:numFmt w:val="bullet"/>
      <w:lvlText w:val=""/>
      <w:lvlJc w:val="left"/>
      <w:pPr>
        <w:tabs>
          <w:tab w:val="num" w:pos="709"/>
        </w:tabs>
        <w:ind w:left="993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4940D59"/>
    <w:multiLevelType w:val="multilevel"/>
    <w:tmpl w:val="83E0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425A6B"/>
    <w:multiLevelType w:val="hybridMultilevel"/>
    <w:tmpl w:val="B444075C"/>
    <w:lvl w:ilvl="0" w:tplc="BFAA7EC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6A393C"/>
    <w:multiLevelType w:val="hybridMultilevel"/>
    <w:tmpl w:val="C0D2BACC"/>
    <w:lvl w:ilvl="0" w:tplc="8544EC10">
      <w:start w:val="1"/>
      <w:numFmt w:val="bullet"/>
      <w:lvlText w:val=""/>
      <w:lvlJc w:val="left"/>
      <w:pPr>
        <w:tabs>
          <w:tab w:val="num" w:pos="0"/>
        </w:tabs>
        <w:ind w:left="34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A25DD0"/>
    <w:multiLevelType w:val="hybridMultilevel"/>
    <w:tmpl w:val="538451C6"/>
    <w:lvl w:ilvl="0" w:tplc="C374C61A">
      <w:start w:val="1"/>
      <w:numFmt w:val="lowerLetter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DF667A7"/>
    <w:multiLevelType w:val="hybridMultilevel"/>
    <w:tmpl w:val="D66A26D4"/>
    <w:lvl w:ilvl="0" w:tplc="4058EB6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0C606B"/>
    <w:multiLevelType w:val="hybridMultilevel"/>
    <w:tmpl w:val="56C681C4"/>
    <w:lvl w:ilvl="0" w:tplc="8544EC10">
      <w:start w:val="1"/>
      <w:numFmt w:val="bullet"/>
      <w:lvlText w:val=""/>
      <w:lvlJc w:val="left"/>
      <w:pPr>
        <w:tabs>
          <w:tab w:val="num" w:pos="0"/>
        </w:tabs>
        <w:ind w:left="34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505B4E"/>
    <w:multiLevelType w:val="hybridMultilevel"/>
    <w:tmpl w:val="B708638E"/>
    <w:lvl w:ilvl="0" w:tplc="8544EC10">
      <w:start w:val="1"/>
      <w:numFmt w:val="bullet"/>
      <w:lvlText w:val=""/>
      <w:lvlJc w:val="left"/>
      <w:pPr>
        <w:tabs>
          <w:tab w:val="num" w:pos="0"/>
        </w:tabs>
        <w:ind w:left="34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EE78A7"/>
    <w:multiLevelType w:val="multilevel"/>
    <w:tmpl w:val="027E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745A8C"/>
    <w:multiLevelType w:val="hybridMultilevel"/>
    <w:tmpl w:val="2A5ED336"/>
    <w:lvl w:ilvl="0" w:tplc="75DE631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3786C"/>
    <w:multiLevelType w:val="hybridMultilevel"/>
    <w:tmpl w:val="0CAEC08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FC4B9D"/>
    <w:multiLevelType w:val="multilevel"/>
    <w:tmpl w:val="FCA6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4526AF"/>
    <w:multiLevelType w:val="hybridMultilevel"/>
    <w:tmpl w:val="86C80908"/>
    <w:lvl w:ilvl="0" w:tplc="889C530C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>
    <w:nsid w:val="521E0CD5"/>
    <w:multiLevelType w:val="hybridMultilevel"/>
    <w:tmpl w:val="56043EA0"/>
    <w:lvl w:ilvl="0" w:tplc="2028197E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7">
    <w:nsid w:val="57B2106A"/>
    <w:multiLevelType w:val="hybridMultilevel"/>
    <w:tmpl w:val="0C322230"/>
    <w:lvl w:ilvl="0" w:tplc="020E22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F2BC9"/>
    <w:multiLevelType w:val="multilevel"/>
    <w:tmpl w:val="1780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AB3E89"/>
    <w:multiLevelType w:val="hybridMultilevel"/>
    <w:tmpl w:val="B3C03BB2"/>
    <w:lvl w:ilvl="0" w:tplc="8544EC10">
      <w:start w:val="1"/>
      <w:numFmt w:val="bullet"/>
      <w:lvlText w:val=""/>
      <w:lvlJc w:val="left"/>
      <w:pPr>
        <w:tabs>
          <w:tab w:val="num" w:pos="0"/>
        </w:tabs>
        <w:ind w:left="34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2245A0"/>
    <w:multiLevelType w:val="hybridMultilevel"/>
    <w:tmpl w:val="B02AD01A"/>
    <w:lvl w:ilvl="0" w:tplc="6C6015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D724A5"/>
    <w:multiLevelType w:val="hybridMultilevel"/>
    <w:tmpl w:val="ED44E5A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3"/>
  </w:num>
  <w:num w:numId="5">
    <w:abstractNumId w:val="21"/>
  </w:num>
  <w:num w:numId="6">
    <w:abstractNumId w:val="16"/>
  </w:num>
  <w:num w:numId="7">
    <w:abstractNumId w:val="1"/>
  </w:num>
  <w:num w:numId="8">
    <w:abstractNumId w:val="15"/>
  </w:num>
  <w:num w:numId="9">
    <w:abstractNumId w:val="6"/>
  </w:num>
  <w:num w:numId="10">
    <w:abstractNumId w:val="3"/>
  </w:num>
  <w:num w:numId="11">
    <w:abstractNumId w:val="10"/>
  </w:num>
  <w:num w:numId="12">
    <w:abstractNumId w:val="5"/>
  </w:num>
  <w:num w:numId="13">
    <w:abstractNumId w:val="0"/>
  </w:num>
  <w:num w:numId="14">
    <w:abstractNumId w:val="12"/>
  </w:num>
  <w:num w:numId="15">
    <w:abstractNumId w:val="19"/>
  </w:num>
  <w:num w:numId="16">
    <w:abstractNumId w:val="20"/>
  </w:num>
  <w:num w:numId="17">
    <w:abstractNumId w:val="17"/>
  </w:num>
  <w:num w:numId="18">
    <w:abstractNumId w:val="18"/>
  </w:num>
  <w:num w:numId="19">
    <w:abstractNumId w:val="2"/>
  </w:num>
  <w:num w:numId="20">
    <w:abstractNumId w:val="14"/>
  </w:num>
  <w:num w:numId="21">
    <w:abstractNumId w:val="4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7605E8"/>
    <w:rsid w:val="00016C19"/>
    <w:rsid w:val="000301B5"/>
    <w:rsid w:val="0007150D"/>
    <w:rsid w:val="00082E96"/>
    <w:rsid w:val="000B51E7"/>
    <w:rsid w:val="000D679C"/>
    <w:rsid w:val="001C50BB"/>
    <w:rsid w:val="00251394"/>
    <w:rsid w:val="00257DB6"/>
    <w:rsid w:val="002A21B3"/>
    <w:rsid w:val="002D0A24"/>
    <w:rsid w:val="002E0654"/>
    <w:rsid w:val="002E259E"/>
    <w:rsid w:val="0030001E"/>
    <w:rsid w:val="0031157F"/>
    <w:rsid w:val="003375B4"/>
    <w:rsid w:val="004041E0"/>
    <w:rsid w:val="0045021A"/>
    <w:rsid w:val="004655D0"/>
    <w:rsid w:val="004B0F12"/>
    <w:rsid w:val="004B101B"/>
    <w:rsid w:val="004F6300"/>
    <w:rsid w:val="005502FD"/>
    <w:rsid w:val="005815FA"/>
    <w:rsid w:val="00590007"/>
    <w:rsid w:val="00593138"/>
    <w:rsid w:val="00594FBE"/>
    <w:rsid w:val="005A0875"/>
    <w:rsid w:val="005A72EB"/>
    <w:rsid w:val="005D59E9"/>
    <w:rsid w:val="00685CF9"/>
    <w:rsid w:val="0069128D"/>
    <w:rsid w:val="006942AA"/>
    <w:rsid w:val="0069644A"/>
    <w:rsid w:val="007605E8"/>
    <w:rsid w:val="00763162"/>
    <w:rsid w:val="007D5198"/>
    <w:rsid w:val="007F579C"/>
    <w:rsid w:val="00804F45"/>
    <w:rsid w:val="00827C65"/>
    <w:rsid w:val="00835B31"/>
    <w:rsid w:val="00863192"/>
    <w:rsid w:val="008A4E8A"/>
    <w:rsid w:val="008F5586"/>
    <w:rsid w:val="0097752E"/>
    <w:rsid w:val="009803B3"/>
    <w:rsid w:val="00995F78"/>
    <w:rsid w:val="009A5D50"/>
    <w:rsid w:val="009E21EB"/>
    <w:rsid w:val="009F01F1"/>
    <w:rsid w:val="00A54BC7"/>
    <w:rsid w:val="00A90C68"/>
    <w:rsid w:val="00AD149E"/>
    <w:rsid w:val="00AE0E13"/>
    <w:rsid w:val="00B534D3"/>
    <w:rsid w:val="00B60C9E"/>
    <w:rsid w:val="00B65299"/>
    <w:rsid w:val="00B77C1C"/>
    <w:rsid w:val="00B936A9"/>
    <w:rsid w:val="00BA0247"/>
    <w:rsid w:val="00C12EBE"/>
    <w:rsid w:val="00C37A99"/>
    <w:rsid w:val="00C418E0"/>
    <w:rsid w:val="00C641E1"/>
    <w:rsid w:val="00C73902"/>
    <w:rsid w:val="00C80CA3"/>
    <w:rsid w:val="00CC5A93"/>
    <w:rsid w:val="00CE6475"/>
    <w:rsid w:val="00CF744D"/>
    <w:rsid w:val="00D07A9B"/>
    <w:rsid w:val="00D511B1"/>
    <w:rsid w:val="00DB5413"/>
    <w:rsid w:val="00DF7919"/>
    <w:rsid w:val="00E21149"/>
    <w:rsid w:val="00E5743E"/>
    <w:rsid w:val="00E641D4"/>
    <w:rsid w:val="00E908B9"/>
    <w:rsid w:val="00EB44B9"/>
    <w:rsid w:val="00EE0F96"/>
    <w:rsid w:val="00F51328"/>
    <w:rsid w:val="00F74CD4"/>
    <w:rsid w:val="00F9388C"/>
    <w:rsid w:val="00FA21E2"/>
    <w:rsid w:val="00FA4DDC"/>
    <w:rsid w:val="00FC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139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5139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5139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51394"/>
  </w:style>
  <w:style w:type="character" w:customStyle="1" w:styleId="En-tteCar">
    <w:name w:val="En-tête Car"/>
    <w:basedOn w:val="Policepardfaut"/>
    <w:link w:val="En-tte"/>
    <w:rsid w:val="00DB5413"/>
    <w:rPr>
      <w:sz w:val="24"/>
      <w:szCs w:val="24"/>
      <w:lang w:val="fr-FR" w:eastAsia="fr-FR" w:bidi="ar-SA"/>
    </w:rPr>
  </w:style>
  <w:style w:type="paragraph" w:customStyle="1" w:styleId="normal2">
    <w:name w:val="normal2"/>
    <w:basedOn w:val="Normal"/>
    <w:rsid w:val="00251394"/>
    <w:pPr>
      <w:jc w:val="both"/>
    </w:pPr>
    <w:rPr>
      <w:rFonts w:ascii="Comic Sans MS" w:hAnsi="Comic Sans MS"/>
      <w:sz w:val="22"/>
    </w:rPr>
  </w:style>
  <w:style w:type="character" w:customStyle="1" w:styleId="normal2Car">
    <w:name w:val="normal2 Car"/>
    <w:basedOn w:val="Policepardfaut"/>
    <w:rsid w:val="00251394"/>
    <w:rPr>
      <w:rFonts w:ascii="Comic Sans MS" w:hAnsi="Comic Sans MS"/>
      <w:sz w:val="22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DF7919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DF79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F7919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31157F"/>
    <w:rPr>
      <w:b/>
      <w:bCs/>
    </w:rPr>
  </w:style>
  <w:style w:type="character" w:customStyle="1" w:styleId="note">
    <w:name w:val="note"/>
    <w:basedOn w:val="Policepardfaut"/>
    <w:rsid w:val="003115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376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FASCICULE</vt:lpstr>
    </vt:vector>
  </TitlesOfParts>
  <Company>LAL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FASCICULE</dc:title>
  <dc:creator>biron</dc:creator>
  <cp:lastModifiedBy>LEGRAND</cp:lastModifiedBy>
  <cp:revision>3</cp:revision>
  <cp:lastPrinted>2014-01-28T10:01:00Z</cp:lastPrinted>
  <dcterms:created xsi:type="dcterms:W3CDTF">2016-03-14T10:06:00Z</dcterms:created>
  <dcterms:modified xsi:type="dcterms:W3CDTF">2016-03-14T10:10:00Z</dcterms:modified>
</cp:coreProperties>
</file>