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FA" w:rsidRPr="00EE288E" w:rsidRDefault="005815FA">
      <w:pPr>
        <w:rPr>
          <w:b/>
          <w:color w:val="0000FF"/>
          <w:u w:val="single"/>
        </w:rPr>
      </w:pPr>
      <w:r w:rsidRPr="00EE288E">
        <w:rPr>
          <w:b/>
          <w:color w:val="0000FF"/>
          <w:u w:val="single"/>
        </w:rPr>
        <w:t>1) Domaine d’application</w:t>
      </w:r>
    </w:p>
    <w:p w:rsidR="005815FA" w:rsidRPr="00E641D4" w:rsidRDefault="005815FA">
      <w:pPr>
        <w:rPr>
          <w:sz w:val="20"/>
          <w:szCs w:val="20"/>
          <w:u w:val="single"/>
        </w:rPr>
      </w:pPr>
    </w:p>
    <w:p w:rsidR="005815FA" w:rsidRDefault="005815FA">
      <w:pPr>
        <w:jc w:val="both"/>
      </w:pPr>
      <w:r w:rsidRPr="00804F45">
        <w:t xml:space="preserve">Ces consignes sont rédigées à l’attention </w:t>
      </w:r>
      <w:r w:rsidR="00E21149" w:rsidRPr="00804F45">
        <w:t xml:space="preserve">de l’ensemble des </w:t>
      </w:r>
      <w:r w:rsidR="00E21149" w:rsidRPr="00804F45">
        <w:rPr>
          <w:b/>
        </w:rPr>
        <w:t xml:space="preserve">agents du CIMAP </w:t>
      </w:r>
      <w:r w:rsidR="0054002D">
        <w:rPr>
          <w:b/>
        </w:rPr>
        <w:t>utilisant l’atelier de traitement de surface</w:t>
      </w:r>
      <w:r w:rsidRPr="00804F45">
        <w:t>.</w:t>
      </w:r>
    </w:p>
    <w:p w:rsidR="0054002D" w:rsidRDefault="0054002D">
      <w:pPr>
        <w:jc w:val="both"/>
      </w:pPr>
      <w:r>
        <w:t xml:space="preserve">L’atelier comprend 1 bain de traitement mettant en œuvre 12 litres de produit : </w:t>
      </w:r>
    </w:p>
    <w:p w:rsidR="0054002D" w:rsidRPr="00EE288E" w:rsidRDefault="0054002D" w:rsidP="00521403">
      <w:pPr>
        <w:jc w:val="center"/>
        <w:rPr>
          <w:color w:val="4F81BD" w:themeColor="accent1"/>
        </w:rPr>
      </w:pPr>
      <w:r w:rsidRPr="00EE288E">
        <w:rPr>
          <w:color w:val="4F81BD" w:themeColor="accent1"/>
        </w:rPr>
        <w:t>Décapant DBC : Acide nitrique (10-25%), Acide phosphorique (25-50%), Acide sulfurique (10-25%), tensio-actifs non ionique (&lt;2%)</w:t>
      </w:r>
    </w:p>
    <w:p w:rsidR="0054002D" w:rsidRDefault="0054002D" w:rsidP="0054002D">
      <w:pPr>
        <w:jc w:val="both"/>
      </w:pPr>
      <w:r>
        <w:t xml:space="preserve">Le bain de stockage et la rétention sont en matériaux plastiques conformément aux prescriptions de la Fiches de Données de Sécurité. </w:t>
      </w:r>
    </w:p>
    <w:p w:rsidR="0054002D" w:rsidRDefault="000959EC" w:rsidP="0054002D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2834045</wp:posOffset>
            </wp:positionH>
            <wp:positionV relativeFrom="paragraph">
              <wp:posOffset>168540</wp:posOffset>
            </wp:positionV>
            <wp:extent cx="926199" cy="324465"/>
            <wp:effectExtent l="0" t="0" r="0" b="0"/>
            <wp:wrapNone/>
            <wp:docPr id="9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225" cy="517525"/>
                      <a:chOff x="6516216" y="1484784"/>
                      <a:chExt cx="1800225" cy="517525"/>
                    </a:xfrm>
                  </a:grpSpPr>
                  <a:sp>
                    <a:nvSpPr>
                      <a:cNvPr id="3098" name="Text 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16216" y="1484784"/>
                        <a:ext cx="1800225" cy="517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fr-FR" sz="1400" dirty="0"/>
                            <a:t>R35: Provoque de graves brûlures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50165</wp:posOffset>
            </wp:positionV>
            <wp:extent cx="601345" cy="636905"/>
            <wp:effectExtent l="0" t="0" r="0" b="0"/>
            <wp:wrapNone/>
            <wp:docPr id="8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96988" cy="1230808"/>
                      <a:chOff x="971600" y="692696"/>
                      <a:chExt cx="1296988" cy="1230808"/>
                    </a:xfrm>
                  </a:grpSpPr>
                  <a:pic>
                    <a:nvPicPr>
                      <a:cNvPr id="3094" name="Picture 22" descr="corrosif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187624" y="692696"/>
                        <a:ext cx="790575" cy="79057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3096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71600" y="1556792"/>
                        <a:ext cx="1296988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fr-FR" dirty="0"/>
                            <a:t>C: Corrosif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54002D" w:rsidRPr="00EE288E" w:rsidRDefault="0054002D" w:rsidP="0054002D">
      <w:pPr>
        <w:jc w:val="both"/>
        <w:rPr>
          <w:b/>
          <w:color w:val="FF0000"/>
        </w:rPr>
      </w:pPr>
      <w:r w:rsidRPr="00EE288E">
        <w:rPr>
          <w:b/>
          <w:color w:val="FF0000"/>
        </w:rPr>
        <w:t xml:space="preserve">Dangers du décapant DBC : </w:t>
      </w:r>
    </w:p>
    <w:p w:rsidR="0054002D" w:rsidRDefault="0054002D" w:rsidP="0054002D">
      <w:pPr>
        <w:jc w:val="both"/>
      </w:pPr>
    </w:p>
    <w:p w:rsidR="0054002D" w:rsidRDefault="0054002D" w:rsidP="0054002D">
      <w:pPr>
        <w:jc w:val="both"/>
      </w:pPr>
    </w:p>
    <w:p w:rsidR="0054002D" w:rsidRDefault="0054002D" w:rsidP="0054002D">
      <w:pPr>
        <w:jc w:val="both"/>
      </w:pPr>
      <w:r>
        <w:t xml:space="preserve">La </w:t>
      </w:r>
      <w:r w:rsidRPr="00521403">
        <w:rPr>
          <w:b/>
        </w:rPr>
        <w:t>Fiche de Donnée de Sécurité</w:t>
      </w:r>
      <w:r>
        <w:t xml:space="preserve"> du produit est à disposition auprès de la cellule QSE. La FDS doit être mise à jour par le fournisseur à chaque commande de nouveau produit. </w:t>
      </w:r>
    </w:p>
    <w:p w:rsidR="0054002D" w:rsidRPr="00804F45" w:rsidRDefault="0054002D" w:rsidP="0054002D">
      <w:pPr>
        <w:jc w:val="both"/>
      </w:pPr>
      <w:r>
        <w:t xml:space="preserve">Sur le bain une affiche permet d’identifier le produit, sa composition et ses dangers. </w:t>
      </w:r>
    </w:p>
    <w:p w:rsidR="005815FA" w:rsidRPr="00E641D4" w:rsidRDefault="005815FA" w:rsidP="00E641D4">
      <w:pPr>
        <w:rPr>
          <w:sz w:val="20"/>
          <w:szCs w:val="20"/>
          <w:u w:val="single"/>
        </w:rPr>
      </w:pPr>
    </w:p>
    <w:p w:rsidR="005815FA" w:rsidRPr="00EE288E" w:rsidRDefault="005815FA">
      <w:pPr>
        <w:rPr>
          <w:b/>
          <w:color w:val="0000FF"/>
          <w:u w:val="single"/>
        </w:rPr>
      </w:pPr>
      <w:r w:rsidRPr="00EE288E">
        <w:rPr>
          <w:b/>
          <w:color w:val="0000FF"/>
          <w:u w:val="single"/>
        </w:rPr>
        <w:t>2) Consignes</w:t>
      </w:r>
    </w:p>
    <w:p w:rsidR="005815FA" w:rsidRPr="00521403" w:rsidRDefault="005815FA"/>
    <w:p w:rsidR="000B0FA6" w:rsidRPr="00EE288E" w:rsidRDefault="000B0FA6" w:rsidP="00521403">
      <w:pPr>
        <w:pStyle w:val="Paragraphedeliste"/>
        <w:numPr>
          <w:ilvl w:val="0"/>
          <w:numId w:val="24"/>
        </w:numPr>
        <w:rPr>
          <w:b/>
          <w:color w:val="00B050"/>
          <w:u w:val="single"/>
        </w:rPr>
      </w:pPr>
      <w:r w:rsidRPr="00EE288E">
        <w:rPr>
          <w:b/>
          <w:color w:val="00B050"/>
          <w:u w:val="single"/>
        </w:rPr>
        <w:t xml:space="preserve">Accès à l’atelier : </w:t>
      </w:r>
    </w:p>
    <w:p w:rsidR="000B0FA6" w:rsidRPr="00521403" w:rsidRDefault="000B0FA6">
      <w:r w:rsidRPr="00521403">
        <w:t xml:space="preserve">La liste des </w:t>
      </w:r>
      <w:r w:rsidRPr="00521403">
        <w:rPr>
          <w:b/>
        </w:rPr>
        <w:t>personnes habilitées</w:t>
      </w:r>
      <w:r w:rsidRPr="00521403">
        <w:t xml:space="preserve"> à utiliser l’atelier de traitement de surface est la suivante : </w:t>
      </w:r>
    </w:p>
    <w:p w:rsidR="00521403" w:rsidRDefault="00521403" w:rsidP="000B0FA6">
      <w:pPr>
        <w:pStyle w:val="Paragraphedeliste"/>
        <w:numPr>
          <w:ilvl w:val="0"/>
          <w:numId w:val="23"/>
        </w:numPr>
        <w:sectPr w:rsidR="00521403" w:rsidSect="00EE288E">
          <w:headerReference w:type="default" r:id="rId8"/>
          <w:footerReference w:type="default" r:id="rId9"/>
          <w:type w:val="continuous"/>
          <w:pgSz w:w="11906" w:h="16838" w:code="9"/>
          <w:pgMar w:top="1134" w:right="851" w:bottom="363" w:left="851" w:header="737" w:footer="709" w:gutter="0"/>
          <w:cols w:space="708"/>
          <w:docGrid w:linePitch="360"/>
        </w:sectPr>
      </w:pPr>
    </w:p>
    <w:p w:rsidR="000B0FA6" w:rsidRPr="00521403" w:rsidRDefault="000B0FA6" w:rsidP="000B0FA6">
      <w:pPr>
        <w:pStyle w:val="Paragraphedeliste"/>
        <w:numPr>
          <w:ilvl w:val="0"/>
          <w:numId w:val="23"/>
        </w:numPr>
      </w:pPr>
      <w:r w:rsidRPr="00521403">
        <w:lastRenderedPageBreak/>
        <w:t xml:space="preserve">JM </w:t>
      </w:r>
      <w:proofErr w:type="spellStart"/>
      <w:r w:rsidRPr="00521403">
        <w:t>Ramillon</w:t>
      </w:r>
      <w:proofErr w:type="spellEnd"/>
      <w:r w:rsidRPr="00521403">
        <w:t xml:space="preserve">, </w:t>
      </w:r>
    </w:p>
    <w:p w:rsidR="000B0FA6" w:rsidRPr="00521403" w:rsidRDefault="000B0FA6" w:rsidP="000B0FA6">
      <w:pPr>
        <w:pStyle w:val="Paragraphedeliste"/>
        <w:numPr>
          <w:ilvl w:val="0"/>
          <w:numId w:val="23"/>
        </w:numPr>
      </w:pPr>
      <w:r w:rsidRPr="00521403">
        <w:t xml:space="preserve">T. Been, </w:t>
      </w:r>
    </w:p>
    <w:p w:rsidR="000B0FA6" w:rsidRPr="00521403" w:rsidRDefault="000B0FA6" w:rsidP="000B0FA6">
      <w:pPr>
        <w:pStyle w:val="Paragraphedeliste"/>
        <w:numPr>
          <w:ilvl w:val="0"/>
          <w:numId w:val="23"/>
        </w:numPr>
      </w:pPr>
      <w:r w:rsidRPr="00521403">
        <w:lastRenderedPageBreak/>
        <w:t xml:space="preserve">P. </w:t>
      </w:r>
      <w:proofErr w:type="spellStart"/>
      <w:r w:rsidRPr="00521403">
        <w:t>Guinement</w:t>
      </w:r>
      <w:proofErr w:type="spellEnd"/>
      <w:r w:rsidRPr="00521403">
        <w:t xml:space="preserve">, </w:t>
      </w:r>
    </w:p>
    <w:p w:rsidR="000B0FA6" w:rsidRPr="00521403" w:rsidRDefault="000B0FA6" w:rsidP="000B0FA6">
      <w:pPr>
        <w:pStyle w:val="Paragraphedeliste"/>
        <w:numPr>
          <w:ilvl w:val="0"/>
          <w:numId w:val="23"/>
        </w:numPr>
      </w:pPr>
      <w:r w:rsidRPr="00521403">
        <w:t xml:space="preserve">C. </w:t>
      </w:r>
      <w:proofErr w:type="spellStart"/>
      <w:r w:rsidRPr="00521403">
        <w:t>Feierstein</w:t>
      </w:r>
      <w:proofErr w:type="spellEnd"/>
    </w:p>
    <w:p w:rsidR="00521403" w:rsidRDefault="00521403">
      <w:pPr>
        <w:sectPr w:rsidR="00521403" w:rsidSect="00EE288E">
          <w:type w:val="continuous"/>
          <w:pgSz w:w="11906" w:h="16838" w:code="9"/>
          <w:pgMar w:top="1134" w:right="851" w:bottom="363" w:left="851" w:header="340" w:footer="709" w:gutter="0"/>
          <w:cols w:num="2" w:space="708"/>
          <w:docGrid w:linePitch="360"/>
        </w:sectPr>
      </w:pPr>
    </w:p>
    <w:p w:rsidR="000B0FA6" w:rsidRPr="00521403" w:rsidRDefault="000B0FA6"/>
    <w:p w:rsidR="0054002D" w:rsidRPr="00EE288E" w:rsidRDefault="000B0FA6" w:rsidP="00521403">
      <w:pPr>
        <w:pStyle w:val="Paragraphedeliste"/>
        <w:numPr>
          <w:ilvl w:val="0"/>
          <w:numId w:val="24"/>
        </w:numPr>
        <w:rPr>
          <w:b/>
          <w:color w:val="00B050"/>
          <w:u w:val="single"/>
        </w:rPr>
      </w:pPr>
      <w:r w:rsidRPr="00EE288E">
        <w:rPr>
          <w:b/>
          <w:color w:val="00B050"/>
          <w:u w:val="single"/>
        </w:rPr>
        <w:t>Mode opératoire :</w:t>
      </w:r>
    </w:p>
    <w:p w:rsidR="0054002D" w:rsidRPr="00521403" w:rsidRDefault="000B0FA6">
      <w:r w:rsidRPr="00521403">
        <w:t xml:space="preserve">Les pièces sont trempées </w:t>
      </w:r>
      <w:r w:rsidR="00236ADA">
        <w:t xml:space="preserve">et récupérées </w:t>
      </w:r>
      <w:r w:rsidRPr="00521403">
        <w:t xml:space="preserve">dans le bain à l’aide </w:t>
      </w:r>
      <w:r w:rsidR="00236ADA">
        <w:t>d’une accroche</w:t>
      </w:r>
      <w:r w:rsidRPr="00521403">
        <w:t xml:space="preserve"> </w:t>
      </w:r>
      <w:r w:rsidR="00236ADA">
        <w:t xml:space="preserve">(fil) </w:t>
      </w:r>
      <w:r w:rsidRPr="00521403">
        <w:t xml:space="preserve">puis rincée à l’eau. </w:t>
      </w:r>
    </w:p>
    <w:p w:rsidR="0054002D" w:rsidRPr="00521403" w:rsidRDefault="0054002D"/>
    <w:p w:rsidR="000B0FA6" w:rsidRPr="00EE288E" w:rsidRDefault="000B0FA6" w:rsidP="00521403">
      <w:pPr>
        <w:pStyle w:val="Paragraphedeliste"/>
        <w:numPr>
          <w:ilvl w:val="0"/>
          <w:numId w:val="24"/>
        </w:numPr>
        <w:rPr>
          <w:b/>
          <w:color w:val="00B050"/>
          <w:u w:val="single"/>
        </w:rPr>
      </w:pPr>
      <w:r w:rsidRPr="00EE288E">
        <w:rPr>
          <w:b/>
          <w:color w:val="00B050"/>
          <w:u w:val="single"/>
        </w:rPr>
        <w:t xml:space="preserve">Consignes de sécurité : </w:t>
      </w:r>
    </w:p>
    <w:p w:rsidR="000B0FA6" w:rsidRPr="00521403" w:rsidRDefault="000B0FA6" w:rsidP="00521403">
      <w:r w:rsidRPr="00521403">
        <w:t xml:space="preserve">Port de la </w:t>
      </w:r>
      <w:r w:rsidRPr="00521403">
        <w:rPr>
          <w:b/>
        </w:rPr>
        <w:t>blouse</w:t>
      </w:r>
      <w:r w:rsidRPr="00521403">
        <w:t xml:space="preserve">, des </w:t>
      </w:r>
      <w:r w:rsidRPr="00521403">
        <w:rPr>
          <w:b/>
        </w:rPr>
        <w:t>gants</w:t>
      </w:r>
      <w:r w:rsidRPr="00521403">
        <w:t xml:space="preserve"> et des </w:t>
      </w:r>
      <w:r w:rsidRPr="00521403">
        <w:rPr>
          <w:b/>
        </w:rPr>
        <w:t>lunettes</w:t>
      </w:r>
      <w:r w:rsidRPr="00521403">
        <w:t xml:space="preserve"> de sécurité obligatoire </w:t>
      </w:r>
    </w:p>
    <w:p w:rsidR="000B0FA6" w:rsidRPr="00521403" w:rsidRDefault="000B0FA6" w:rsidP="00521403">
      <w:pPr>
        <w:rPr>
          <w:b/>
        </w:rPr>
      </w:pPr>
      <w:r w:rsidRPr="00521403">
        <w:rPr>
          <w:b/>
        </w:rPr>
        <w:t>Manipuler les pièces lentement et avec précaution</w:t>
      </w:r>
    </w:p>
    <w:p w:rsidR="000B0FA6" w:rsidRPr="00521403" w:rsidRDefault="000B0FA6" w:rsidP="00521403">
      <w:r w:rsidRPr="00521403">
        <w:rPr>
          <w:b/>
        </w:rPr>
        <w:t>Se laver soigneusement les mains</w:t>
      </w:r>
      <w:r w:rsidRPr="00521403">
        <w:t xml:space="preserve"> après manipulation et ne pas fumer, boire ou manger dans l’atelier</w:t>
      </w:r>
    </w:p>
    <w:p w:rsidR="000B0FA6" w:rsidRPr="00521403" w:rsidRDefault="000B0FA6" w:rsidP="00521403">
      <w:r w:rsidRPr="00521403">
        <w:t>Enlever les vêtements souillés et les laver avant réemploi</w:t>
      </w:r>
    </w:p>
    <w:p w:rsidR="000B0FA6" w:rsidRPr="00521403" w:rsidRDefault="000B0FA6" w:rsidP="00521403">
      <w:pPr>
        <w:rPr>
          <w:b/>
        </w:rPr>
      </w:pPr>
      <w:r w:rsidRPr="00521403">
        <w:rPr>
          <w:b/>
        </w:rPr>
        <w:t>Refermer le bain après chaque manipulation et durant la phase de trempage</w:t>
      </w:r>
    </w:p>
    <w:p w:rsidR="00313FB7" w:rsidRPr="00521403" w:rsidRDefault="00313FB7" w:rsidP="00521403">
      <w:r w:rsidRPr="00521403">
        <w:t>Tenir éloigner les produits de toute source de chaleur, d’ignition et de matières incompatibles</w:t>
      </w:r>
    </w:p>
    <w:p w:rsidR="000B0FA6" w:rsidRDefault="000B0FA6" w:rsidP="000B0FA6">
      <w:pPr>
        <w:rPr>
          <w:sz w:val="20"/>
          <w:szCs w:val="20"/>
        </w:rPr>
      </w:pPr>
    </w:p>
    <w:p w:rsidR="000B0FA6" w:rsidRPr="00EE288E" w:rsidRDefault="000B0FA6" w:rsidP="00521403">
      <w:pPr>
        <w:pStyle w:val="Paragraphedeliste"/>
        <w:numPr>
          <w:ilvl w:val="0"/>
          <w:numId w:val="24"/>
        </w:numPr>
        <w:rPr>
          <w:b/>
          <w:color w:val="00B050"/>
          <w:u w:val="single"/>
        </w:rPr>
      </w:pPr>
      <w:r w:rsidRPr="00EE288E">
        <w:rPr>
          <w:b/>
          <w:color w:val="00B050"/>
          <w:u w:val="single"/>
        </w:rPr>
        <w:t xml:space="preserve">Vérification à effectuer avant la mise en fonctionnement : </w:t>
      </w:r>
    </w:p>
    <w:p w:rsidR="000B0FA6" w:rsidRPr="00521403" w:rsidRDefault="000B0FA6" w:rsidP="00521403">
      <w:r w:rsidRPr="00521403">
        <w:t xml:space="preserve">Vérifier le fonctionnement de la </w:t>
      </w:r>
      <w:r w:rsidRPr="00521403">
        <w:rPr>
          <w:b/>
        </w:rPr>
        <w:t>Ventilation Mécanique Contrôlée</w:t>
      </w:r>
    </w:p>
    <w:p w:rsidR="000B0FA6" w:rsidRPr="00521403" w:rsidRDefault="000B0FA6" w:rsidP="00521403">
      <w:r w:rsidRPr="00521403">
        <w:t xml:space="preserve">Vérifier </w:t>
      </w:r>
      <w:r w:rsidRPr="00521403">
        <w:rPr>
          <w:b/>
        </w:rPr>
        <w:t>l’état général du bain et de la rétention</w:t>
      </w:r>
      <w:r w:rsidRPr="00521403">
        <w:t xml:space="preserve"> (fuites ou fissures)</w:t>
      </w:r>
    </w:p>
    <w:p w:rsidR="000B0FA6" w:rsidRPr="00521403" w:rsidRDefault="000B0FA6" w:rsidP="00521403">
      <w:r w:rsidRPr="00521403">
        <w:t xml:space="preserve">S’assurer de </w:t>
      </w:r>
      <w:r w:rsidRPr="00521403">
        <w:rPr>
          <w:b/>
        </w:rPr>
        <w:t>la mise à disposition des Equipements de Protection Individuelle</w:t>
      </w:r>
    </w:p>
    <w:p w:rsidR="000B0FA6" w:rsidRPr="00521403" w:rsidRDefault="000B0FA6" w:rsidP="00521403">
      <w:r w:rsidRPr="00521403">
        <w:t xml:space="preserve">Vérifier le </w:t>
      </w:r>
      <w:r w:rsidRPr="00521403">
        <w:rPr>
          <w:b/>
        </w:rPr>
        <w:t xml:space="preserve">fonctionnement des équipements de sécurité </w:t>
      </w:r>
      <w:r w:rsidRPr="00521403">
        <w:t>(rince-œil)</w:t>
      </w:r>
    </w:p>
    <w:p w:rsidR="000B0FA6" w:rsidRPr="000B0FA6" w:rsidRDefault="000B0FA6">
      <w:pPr>
        <w:rPr>
          <w:sz w:val="20"/>
          <w:szCs w:val="20"/>
        </w:rPr>
      </w:pPr>
    </w:p>
    <w:p w:rsidR="00C37A99" w:rsidRPr="00EE288E" w:rsidRDefault="00C37A99" w:rsidP="00EE288E">
      <w:pPr>
        <w:pStyle w:val="Paragraphedeliste"/>
        <w:numPr>
          <w:ilvl w:val="0"/>
          <w:numId w:val="24"/>
        </w:numPr>
        <w:rPr>
          <w:b/>
          <w:color w:val="00B050"/>
          <w:u w:val="single"/>
        </w:rPr>
      </w:pPr>
      <w:r w:rsidRPr="00EE288E">
        <w:rPr>
          <w:b/>
          <w:color w:val="00B050"/>
          <w:u w:val="single"/>
        </w:rPr>
        <w:t>Nettoyage</w:t>
      </w:r>
      <w:r w:rsidR="00E908B9" w:rsidRPr="00EE288E">
        <w:rPr>
          <w:b/>
          <w:color w:val="00B050"/>
          <w:u w:val="single"/>
        </w:rPr>
        <w:t> :</w:t>
      </w:r>
    </w:p>
    <w:p w:rsidR="00313FB7" w:rsidRDefault="00313FB7" w:rsidP="00C37A99">
      <w:pPr>
        <w:jc w:val="both"/>
      </w:pPr>
      <w:r>
        <w:t xml:space="preserve">L’hygiène joue un rôle prépondérant dans la prévention des risques de contact cutané et d’intoxication par ingestion. Cela concerne : </w:t>
      </w:r>
    </w:p>
    <w:p w:rsidR="00313FB7" w:rsidRDefault="00313FB7" w:rsidP="00313FB7">
      <w:pPr>
        <w:pStyle w:val="Paragraphedeliste"/>
        <w:numPr>
          <w:ilvl w:val="0"/>
          <w:numId w:val="17"/>
        </w:numPr>
        <w:jc w:val="both"/>
      </w:pPr>
      <w:r>
        <w:t>La propreté des locaux et équipements</w:t>
      </w:r>
    </w:p>
    <w:p w:rsidR="00313FB7" w:rsidRDefault="00313FB7" w:rsidP="00313FB7">
      <w:pPr>
        <w:pStyle w:val="Paragraphedeliste"/>
        <w:numPr>
          <w:ilvl w:val="0"/>
          <w:numId w:val="17"/>
        </w:numPr>
        <w:jc w:val="both"/>
      </w:pPr>
      <w:r>
        <w:t>La propreté personnelle (particulièrement les mains et le visage)</w:t>
      </w:r>
    </w:p>
    <w:p w:rsidR="00C37A99" w:rsidRPr="00804F45" w:rsidRDefault="00C37A99" w:rsidP="00C37A99">
      <w:pPr>
        <w:jc w:val="both"/>
      </w:pPr>
      <w:r w:rsidRPr="00804F45">
        <w:t xml:space="preserve">Le nettoyage des surfaces de travail doit être effectué par les utilisateurs à la fin de chaque manipulation. </w:t>
      </w:r>
    </w:p>
    <w:p w:rsidR="00F9388C" w:rsidRDefault="00F9388C" w:rsidP="00E641D4">
      <w:pPr>
        <w:rPr>
          <w:sz w:val="20"/>
          <w:szCs w:val="20"/>
          <w:u w:val="single"/>
        </w:rPr>
      </w:pPr>
    </w:p>
    <w:p w:rsidR="00EE288E" w:rsidRDefault="00EE288E" w:rsidP="00E641D4">
      <w:pPr>
        <w:rPr>
          <w:sz w:val="20"/>
          <w:szCs w:val="20"/>
          <w:u w:val="single"/>
        </w:rPr>
      </w:pPr>
    </w:p>
    <w:p w:rsidR="00313FB7" w:rsidRPr="00EE288E" w:rsidRDefault="00313FB7" w:rsidP="00EE288E">
      <w:pPr>
        <w:pStyle w:val="Paragraphedeliste"/>
        <w:numPr>
          <w:ilvl w:val="0"/>
          <w:numId w:val="24"/>
        </w:numPr>
        <w:rPr>
          <w:b/>
          <w:color w:val="00B050"/>
          <w:u w:val="single"/>
        </w:rPr>
      </w:pPr>
      <w:r w:rsidRPr="00EE288E">
        <w:rPr>
          <w:b/>
          <w:color w:val="00B050"/>
          <w:u w:val="single"/>
        </w:rPr>
        <w:t xml:space="preserve">Elimination des déchets : </w:t>
      </w:r>
    </w:p>
    <w:p w:rsidR="00313FB7" w:rsidRPr="00521403" w:rsidRDefault="00313FB7" w:rsidP="00E641D4">
      <w:r w:rsidRPr="00521403">
        <w:t xml:space="preserve">Pour l’élimination des déchets, prendre contact avec la cellule QSE afin d’organiser une évacuation par une entreprise spécialisée via les services du GANIL. </w:t>
      </w:r>
      <w:r w:rsidRPr="00521403">
        <w:rPr>
          <w:b/>
        </w:rPr>
        <w:t>Aucun rejet à l’égout n’est autorisé</w:t>
      </w:r>
      <w:r w:rsidRPr="00521403">
        <w:t xml:space="preserve">. </w:t>
      </w:r>
    </w:p>
    <w:p w:rsidR="00313FB7" w:rsidRPr="00521403" w:rsidRDefault="00313FB7" w:rsidP="00E641D4"/>
    <w:p w:rsidR="00F9388C" w:rsidRPr="00EE288E" w:rsidRDefault="00F9388C" w:rsidP="00EE288E">
      <w:pPr>
        <w:pStyle w:val="Paragraphedeliste"/>
        <w:numPr>
          <w:ilvl w:val="0"/>
          <w:numId w:val="24"/>
        </w:numPr>
        <w:rPr>
          <w:b/>
          <w:color w:val="00B050"/>
          <w:u w:val="single"/>
        </w:rPr>
      </w:pPr>
      <w:r w:rsidRPr="00EE288E">
        <w:rPr>
          <w:b/>
          <w:color w:val="00B050"/>
          <w:u w:val="single"/>
        </w:rPr>
        <w:t>Fiche d’exposition et suivi médical</w:t>
      </w:r>
      <w:r w:rsidR="00E908B9" w:rsidRPr="00EE288E">
        <w:rPr>
          <w:b/>
          <w:color w:val="00B050"/>
          <w:u w:val="single"/>
        </w:rPr>
        <w:t> :</w:t>
      </w:r>
    </w:p>
    <w:p w:rsidR="00F9388C" w:rsidRDefault="00F9388C" w:rsidP="00F9388C">
      <w:pPr>
        <w:jc w:val="both"/>
      </w:pPr>
      <w:r w:rsidRPr="00804F45">
        <w:t xml:space="preserve">Les produits </w:t>
      </w:r>
      <w:r w:rsidR="00313FB7">
        <w:t>chimiques</w:t>
      </w:r>
      <w:r w:rsidRPr="00804F45">
        <w:t xml:space="preserve"> que vous manipulez doivent être </w:t>
      </w:r>
      <w:r w:rsidR="00835B31" w:rsidRPr="00804F45">
        <w:t>indiqués</w:t>
      </w:r>
      <w:r w:rsidRPr="00804F45">
        <w:t xml:space="preserve"> sur les </w:t>
      </w:r>
      <w:r w:rsidRPr="00685CF9">
        <w:rPr>
          <w:b/>
        </w:rPr>
        <w:t>fiches de risques</w:t>
      </w:r>
      <w:r w:rsidRPr="00804F45">
        <w:t xml:space="preserve"> (fiche CNRS/UCBN ou fiche CEA). Cette fiche doit être complétée avec l’aide de la cellule QSE qui en archive une copie</w:t>
      </w:r>
      <w:r w:rsidR="00313FB7">
        <w:t xml:space="preserve"> et </w:t>
      </w:r>
      <w:r w:rsidR="000959EC">
        <w:t xml:space="preserve">doit être </w:t>
      </w:r>
      <w:r w:rsidR="00313FB7">
        <w:t>signée par la direction du CIMAP</w:t>
      </w:r>
      <w:r w:rsidRPr="00804F45">
        <w:t xml:space="preserve">. </w:t>
      </w:r>
      <w:r w:rsidR="0031157F">
        <w:t xml:space="preserve">L’originale est transmise au médecin de prévention afin d’adapter le suivi médical. </w:t>
      </w:r>
    </w:p>
    <w:p w:rsidR="0031157F" w:rsidRPr="00804F45" w:rsidRDefault="0031157F" w:rsidP="00F9388C">
      <w:pPr>
        <w:jc w:val="both"/>
      </w:pPr>
      <w:r>
        <w:t xml:space="preserve">La fiche d’exposition permet d’établir l’attestation d’exposition délivrée par l’employeur au départ de l’établissement. </w:t>
      </w:r>
    </w:p>
    <w:p w:rsidR="00E21149" w:rsidRPr="00E641D4" w:rsidRDefault="00E21149" w:rsidP="00E641D4">
      <w:pPr>
        <w:rPr>
          <w:sz w:val="20"/>
          <w:szCs w:val="20"/>
          <w:u w:val="single"/>
        </w:rPr>
      </w:pPr>
    </w:p>
    <w:p w:rsidR="00DF7919" w:rsidRPr="000179DE" w:rsidRDefault="005815FA">
      <w:pPr>
        <w:rPr>
          <w:b/>
          <w:color w:val="0000FF"/>
          <w:u w:val="single"/>
        </w:rPr>
      </w:pPr>
      <w:r w:rsidRPr="000179DE">
        <w:rPr>
          <w:b/>
          <w:color w:val="0000FF"/>
          <w:u w:val="single"/>
        </w:rPr>
        <w:t xml:space="preserve">3) </w:t>
      </w:r>
      <w:r w:rsidR="0031157F" w:rsidRPr="000179DE">
        <w:rPr>
          <w:b/>
          <w:color w:val="0000FF"/>
          <w:u w:val="single"/>
        </w:rPr>
        <w:t>Conduite à tenir</w:t>
      </w:r>
      <w:r w:rsidRPr="000179DE">
        <w:rPr>
          <w:b/>
          <w:color w:val="0000FF"/>
          <w:u w:val="single"/>
        </w:rPr>
        <w:t xml:space="preserve"> en cas d’urgence</w:t>
      </w:r>
    </w:p>
    <w:p w:rsidR="005815FA" w:rsidRPr="00E641D4" w:rsidRDefault="005815FA" w:rsidP="00E641D4">
      <w:pPr>
        <w:rPr>
          <w:sz w:val="20"/>
          <w:szCs w:val="20"/>
          <w:u w:val="single"/>
        </w:rPr>
      </w:pPr>
    </w:p>
    <w:p w:rsidR="005815FA" w:rsidRPr="00EE288E" w:rsidRDefault="00CB0AEE" w:rsidP="00EE288E">
      <w:pPr>
        <w:pStyle w:val="Paragraphedeliste"/>
        <w:numPr>
          <w:ilvl w:val="0"/>
          <w:numId w:val="24"/>
        </w:numPr>
        <w:rPr>
          <w:b/>
          <w:color w:val="00B050"/>
          <w:u w:val="single"/>
        </w:rPr>
      </w:pPr>
      <w:r w:rsidRPr="00EE288E">
        <w:rPr>
          <w:b/>
          <w:color w:val="00B050"/>
          <w:u w:val="single"/>
        </w:rPr>
        <w:t xml:space="preserve">En cas de projection accidentelle : </w:t>
      </w:r>
    </w:p>
    <w:p w:rsidR="00CB0AEE" w:rsidRDefault="00CB0AEE" w:rsidP="00CB0AEE">
      <w:pPr>
        <w:jc w:val="both"/>
      </w:pPr>
      <w:r>
        <w:t xml:space="preserve">Alerter le </w:t>
      </w:r>
      <w:r w:rsidRPr="00521403">
        <w:rPr>
          <w:b/>
        </w:rPr>
        <w:t>Sauveteur Secouriste du Travail</w:t>
      </w:r>
      <w:r>
        <w:t xml:space="preserve"> le plus proche</w:t>
      </w:r>
    </w:p>
    <w:p w:rsidR="00CB0AEE" w:rsidRDefault="00CB0AEE" w:rsidP="00CB0AEE">
      <w:pPr>
        <w:jc w:val="both"/>
      </w:pPr>
      <w:r>
        <w:t xml:space="preserve">En cas de projection sur la peau ou les yeux : </w:t>
      </w:r>
    </w:p>
    <w:p w:rsidR="00CB0AEE" w:rsidRDefault="00CB0AEE" w:rsidP="00CB0AEE">
      <w:pPr>
        <w:jc w:val="both"/>
      </w:pPr>
      <w:r>
        <w:tab/>
      </w:r>
      <w:r w:rsidR="00883166">
        <w:t xml:space="preserve">Utiliser le </w:t>
      </w:r>
      <w:r w:rsidR="00883166" w:rsidRPr="00521403">
        <w:rPr>
          <w:b/>
        </w:rPr>
        <w:t>rince-œil</w:t>
      </w:r>
    </w:p>
    <w:p w:rsidR="00883166" w:rsidRDefault="00883166" w:rsidP="00CB0AEE">
      <w:pPr>
        <w:jc w:val="both"/>
      </w:pPr>
      <w:r>
        <w:tab/>
        <w:t xml:space="preserve">Passer </w:t>
      </w:r>
      <w:r w:rsidRPr="00521403">
        <w:rPr>
          <w:b/>
        </w:rPr>
        <w:t>15 min sous l’eau les parties touchées</w:t>
      </w:r>
    </w:p>
    <w:p w:rsidR="00883166" w:rsidRDefault="00883166" w:rsidP="00CB0AEE">
      <w:pPr>
        <w:jc w:val="both"/>
      </w:pPr>
      <w:r>
        <w:tab/>
        <w:t>Noter le nom du produit afin de le communiquer au médecin de prévention</w:t>
      </w:r>
    </w:p>
    <w:p w:rsidR="00883166" w:rsidRDefault="00883166" w:rsidP="00CB0AEE">
      <w:pPr>
        <w:jc w:val="both"/>
      </w:pPr>
      <w:r>
        <w:tab/>
        <w:t xml:space="preserve">Dans tous les cas </w:t>
      </w:r>
      <w:r w:rsidRPr="00521403">
        <w:rPr>
          <w:b/>
        </w:rPr>
        <w:t>prendre un avis médical</w:t>
      </w:r>
      <w:r>
        <w:t xml:space="preserve"> afin de prévenir tout effet retardé</w:t>
      </w:r>
    </w:p>
    <w:p w:rsidR="00883166" w:rsidRDefault="00883166" w:rsidP="00CB0AEE">
      <w:pPr>
        <w:jc w:val="both"/>
      </w:pPr>
      <w:r>
        <w:t xml:space="preserve">Alerter le </w:t>
      </w:r>
      <w:r w:rsidRPr="00521403">
        <w:rPr>
          <w:b/>
        </w:rPr>
        <w:t>service de santé au travail</w:t>
      </w:r>
      <w:r>
        <w:t xml:space="preserve"> : </w:t>
      </w:r>
      <w:r w:rsidRPr="00521403">
        <w:rPr>
          <w:b/>
          <w:color w:val="FF0000"/>
        </w:rPr>
        <w:t xml:space="preserve">45 </w:t>
      </w:r>
      <w:proofErr w:type="spellStart"/>
      <w:r w:rsidRPr="00521403">
        <w:rPr>
          <w:b/>
          <w:color w:val="FF0000"/>
        </w:rPr>
        <w:t>45</w:t>
      </w:r>
      <w:proofErr w:type="spellEnd"/>
    </w:p>
    <w:p w:rsidR="00883166" w:rsidRDefault="00883166" w:rsidP="00CB0AEE">
      <w:pPr>
        <w:jc w:val="both"/>
      </w:pPr>
      <w:r>
        <w:t xml:space="preserve">En cas d’absence appeler le </w:t>
      </w:r>
      <w:r w:rsidRPr="00521403">
        <w:rPr>
          <w:b/>
          <w:color w:val="FF0000"/>
        </w:rPr>
        <w:t>18</w:t>
      </w:r>
      <w:r>
        <w:t xml:space="preserve"> (pompier) et le </w:t>
      </w:r>
      <w:r w:rsidRPr="00521403">
        <w:rPr>
          <w:b/>
          <w:color w:val="FF0000"/>
        </w:rPr>
        <w:t>15</w:t>
      </w:r>
      <w:r>
        <w:t xml:space="preserve"> (ELPI)</w:t>
      </w:r>
    </w:p>
    <w:p w:rsidR="00883166" w:rsidRDefault="00883166" w:rsidP="00CB0AEE">
      <w:pPr>
        <w:jc w:val="both"/>
      </w:pPr>
    </w:p>
    <w:p w:rsidR="00883166" w:rsidRPr="00EE288E" w:rsidRDefault="00883166" w:rsidP="00EE288E">
      <w:pPr>
        <w:pStyle w:val="Paragraphedeliste"/>
        <w:numPr>
          <w:ilvl w:val="0"/>
          <w:numId w:val="24"/>
        </w:numPr>
        <w:rPr>
          <w:b/>
          <w:color w:val="00B050"/>
          <w:u w:val="single"/>
        </w:rPr>
      </w:pPr>
      <w:r w:rsidRPr="00EE288E">
        <w:rPr>
          <w:b/>
          <w:color w:val="00B050"/>
          <w:u w:val="single"/>
        </w:rPr>
        <w:t xml:space="preserve">En cas d’incendie : </w:t>
      </w:r>
    </w:p>
    <w:p w:rsidR="00883166" w:rsidRDefault="00883166" w:rsidP="00883166">
      <w:pPr>
        <w:jc w:val="both"/>
      </w:pPr>
      <w:r>
        <w:t xml:space="preserve">Utiliser un </w:t>
      </w:r>
      <w:r w:rsidRPr="00521403">
        <w:rPr>
          <w:b/>
        </w:rPr>
        <w:t>extincteur CO2</w:t>
      </w:r>
      <w:r>
        <w:t xml:space="preserve"> (à disposition dans à </w:t>
      </w:r>
      <w:r w:rsidRPr="00D26F8E">
        <w:t>la sortie de l’atelier</w:t>
      </w:r>
      <w:r>
        <w:t>)</w:t>
      </w:r>
    </w:p>
    <w:p w:rsidR="00883166" w:rsidRDefault="00883166" w:rsidP="00883166">
      <w:pPr>
        <w:jc w:val="both"/>
      </w:pPr>
      <w:r>
        <w:t xml:space="preserve">Prévenez les </w:t>
      </w:r>
      <w:r w:rsidRPr="00521403">
        <w:rPr>
          <w:b/>
        </w:rPr>
        <w:t>pompiers</w:t>
      </w:r>
      <w:r>
        <w:t xml:space="preserve"> (</w:t>
      </w:r>
      <w:r w:rsidRPr="00521403">
        <w:rPr>
          <w:b/>
          <w:color w:val="FF0000"/>
        </w:rPr>
        <w:t>18</w:t>
      </w:r>
      <w:r>
        <w:t>)</w:t>
      </w:r>
    </w:p>
    <w:p w:rsidR="00883166" w:rsidRDefault="00883166" w:rsidP="00883166">
      <w:pPr>
        <w:jc w:val="both"/>
      </w:pPr>
      <w:r>
        <w:t xml:space="preserve">Prévenez </w:t>
      </w:r>
      <w:r w:rsidRPr="00521403">
        <w:rPr>
          <w:b/>
        </w:rPr>
        <w:t>l’ELPI</w:t>
      </w:r>
      <w:r>
        <w:t xml:space="preserve"> (</w:t>
      </w:r>
      <w:r w:rsidRPr="00521403">
        <w:rPr>
          <w:b/>
          <w:color w:val="FF0000"/>
        </w:rPr>
        <w:t>15</w:t>
      </w:r>
      <w:r>
        <w:t>)</w:t>
      </w:r>
    </w:p>
    <w:p w:rsidR="00883166" w:rsidRDefault="00883166" w:rsidP="00883166">
      <w:pPr>
        <w:jc w:val="both"/>
      </w:pPr>
      <w:r>
        <w:tab/>
        <w:t xml:space="preserve">Précisez l’endroit exact (CIMAP </w:t>
      </w:r>
      <w:r w:rsidRPr="005910D4">
        <w:t>p</w:t>
      </w:r>
      <w:r w:rsidR="00D26F8E" w:rsidRPr="005910D4">
        <w:t xml:space="preserve">ièce </w:t>
      </w:r>
      <w:r w:rsidRPr="005910D4">
        <w:t>005</w:t>
      </w:r>
      <w:r>
        <w:t>)</w:t>
      </w:r>
    </w:p>
    <w:p w:rsidR="00883166" w:rsidRDefault="00883166" w:rsidP="00883166">
      <w:pPr>
        <w:jc w:val="both"/>
      </w:pPr>
      <w:r>
        <w:tab/>
        <w:t>Ne raccrochez jamais en premier</w:t>
      </w:r>
    </w:p>
    <w:p w:rsidR="00883166" w:rsidRDefault="00883166" w:rsidP="00883166">
      <w:pPr>
        <w:jc w:val="both"/>
      </w:pPr>
      <w:r>
        <w:tab/>
        <w:t>Précisez la présence de produit chimique</w:t>
      </w:r>
    </w:p>
    <w:p w:rsidR="00883166" w:rsidRPr="00521403" w:rsidRDefault="00883166" w:rsidP="00521403">
      <w:pPr>
        <w:jc w:val="center"/>
        <w:rPr>
          <w:color w:val="4F81BD" w:themeColor="accent1"/>
        </w:rPr>
      </w:pPr>
      <w:r w:rsidRPr="00521403">
        <w:rPr>
          <w:color w:val="4F81BD" w:themeColor="accent1"/>
        </w:rPr>
        <w:t>Si le feu échappe à votre contrôle faites évacuer les lieux en déclenchant l’alarme incendie par le biais des Déclencheur Manuels situés à proximité des sorties.</w:t>
      </w:r>
    </w:p>
    <w:p w:rsidR="00883166" w:rsidRDefault="00883166" w:rsidP="00883166">
      <w:pPr>
        <w:jc w:val="both"/>
      </w:pPr>
    </w:p>
    <w:p w:rsidR="00883166" w:rsidRPr="00EE288E" w:rsidRDefault="00883166" w:rsidP="00EE288E">
      <w:pPr>
        <w:pStyle w:val="Paragraphedeliste"/>
        <w:numPr>
          <w:ilvl w:val="0"/>
          <w:numId w:val="24"/>
        </w:numPr>
        <w:rPr>
          <w:b/>
          <w:color w:val="00B050"/>
          <w:u w:val="single"/>
        </w:rPr>
      </w:pPr>
      <w:r w:rsidRPr="00EE288E">
        <w:rPr>
          <w:b/>
          <w:color w:val="00B050"/>
          <w:u w:val="single"/>
        </w:rPr>
        <w:t xml:space="preserve">En cas de fuite de produit chimique : </w:t>
      </w:r>
    </w:p>
    <w:p w:rsidR="00883166" w:rsidRPr="00804F45" w:rsidRDefault="00883166" w:rsidP="00883166">
      <w:pPr>
        <w:jc w:val="both"/>
      </w:pPr>
      <w:r>
        <w:t xml:space="preserve">En cas de déversement accidentel à l’extérieur des rétentions, </w:t>
      </w:r>
      <w:r w:rsidR="00137E71">
        <w:t>utilisez la</w:t>
      </w:r>
      <w:r>
        <w:t xml:space="preserve"> vermiculite à disposition</w:t>
      </w:r>
      <w:r w:rsidR="00137E71">
        <w:t xml:space="preserve"> afin d’éviter tout écoulement vers les canalisations</w:t>
      </w:r>
      <w:r>
        <w:t xml:space="preserve">. Après absorption du produit par la vermiculite, celle-ci doit être éliminée en tant que déchet chimique. </w:t>
      </w:r>
    </w:p>
    <w:sectPr w:rsidR="00883166" w:rsidRPr="00804F45" w:rsidSect="00EE288E">
      <w:type w:val="continuous"/>
      <w:pgSz w:w="11906" w:h="16838" w:code="9"/>
      <w:pgMar w:top="1134" w:right="851" w:bottom="363" w:left="851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EE" w:rsidRDefault="00CB0AEE">
      <w:r>
        <w:separator/>
      </w:r>
    </w:p>
  </w:endnote>
  <w:endnote w:type="continuationSeparator" w:id="0">
    <w:p w:rsidR="00CB0AEE" w:rsidRDefault="00CB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EE" w:rsidRDefault="00CB0AEE">
    <w:pPr>
      <w:pStyle w:val="Pieddepage"/>
      <w:rPr>
        <w:color w:val="000000"/>
        <w:sz w:val="16"/>
        <w:szCs w:val="16"/>
      </w:rPr>
    </w:pPr>
    <w:r>
      <w:tab/>
    </w:r>
    <w:r>
      <w:tab/>
    </w:r>
    <w:r>
      <w:tab/>
    </w:r>
    <w:r>
      <w:rPr>
        <w:color w:val="000000"/>
        <w:sz w:val="16"/>
        <w:szCs w:val="16"/>
      </w:rPr>
      <w:t xml:space="preserve">Page </w:t>
    </w:r>
    <w:r w:rsidR="00FF38C1">
      <w:rPr>
        <w:rStyle w:val="Numrodepage"/>
        <w:color w:val="000000"/>
        <w:sz w:val="16"/>
        <w:szCs w:val="16"/>
      </w:rPr>
      <w:fldChar w:fldCharType="begin"/>
    </w:r>
    <w:r>
      <w:rPr>
        <w:rStyle w:val="Numrodepage"/>
        <w:color w:val="000000"/>
        <w:sz w:val="16"/>
        <w:szCs w:val="16"/>
      </w:rPr>
      <w:instrText xml:space="preserve"> PAGE </w:instrText>
    </w:r>
    <w:r w:rsidR="00FF38C1">
      <w:rPr>
        <w:rStyle w:val="Numrodepage"/>
        <w:color w:val="000000"/>
        <w:sz w:val="16"/>
        <w:szCs w:val="16"/>
      </w:rPr>
      <w:fldChar w:fldCharType="separate"/>
    </w:r>
    <w:r w:rsidR="00236ADA">
      <w:rPr>
        <w:rStyle w:val="Numrodepage"/>
        <w:noProof/>
        <w:color w:val="000000"/>
        <w:sz w:val="16"/>
        <w:szCs w:val="16"/>
      </w:rPr>
      <w:t>1</w:t>
    </w:r>
    <w:r w:rsidR="00FF38C1">
      <w:rPr>
        <w:rStyle w:val="Numrodepage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EE" w:rsidRDefault="00CB0AEE">
      <w:r>
        <w:separator/>
      </w:r>
    </w:p>
  </w:footnote>
  <w:footnote w:type="continuationSeparator" w:id="0">
    <w:p w:rsidR="00CB0AEE" w:rsidRDefault="00CB0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CB0AEE" w:rsidRPr="00C264C4" w:rsidTr="00EE288E">
      <w:trPr>
        <w:trHeight w:val="556"/>
      </w:trPr>
      <w:tc>
        <w:tcPr>
          <w:tcW w:w="2509" w:type="dxa"/>
          <w:vMerge w:val="restart"/>
        </w:tcPr>
        <w:p w:rsidR="00CB0AEE" w:rsidRPr="00534EC6" w:rsidRDefault="00CB0AEE" w:rsidP="009E21EB">
          <w:r w:rsidRPr="00DF7919">
            <w:rPr>
              <w:noProof/>
            </w:rPr>
            <w:drawing>
              <wp:inline distT="0" distB="0" distL="0" distR="0">
                <wp:extent cx="1391285" cy="538480"/>
                <wp:effectExtent l="19050" t="0" r="0" b="0"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</w:tcPr>
        <w:p w:rsidR="00CB0AEE" w:rsidRPr="00534EC6" w:rsidRDefault="00CB0AEE" w:rsidP="00DF791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CB0AEE" w:rsidRPr="00534EC6" w:rsidRDefault="00CB0AEE" w:rsidP="009E21EB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INSTRUCTION</w:t>
          </w:r>
        </w:p>
      </w:tc>
    </w:tr>
    <w:tr w:rsidR="00CB0AEE" w:rsidRPr="00C264C4" w:rsidTr="00EE288E">
      <w:trPr>
        <w:trHeight w:val="500"/>
      </w:trPr>
      <w:tc>
        <w:tcPr>
          <w:tcW w:w="2509" w:type="dxa"/>
          <w:vMerge/>
          <w:vAlign w:val="center"/>
        </w:tcPr>
        <w:p w:rsidR="00CB0AEE" w:rsidRPr="006B583B" w:rsidRDefault="00CB0AEE" w:rsidP="009E21EB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CB0AEE" w:rsidRPr="00C264C4" w:rsidRDefault="00CB0AEE" w:rsidP="009E21EB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CB0AEE" w:rsidRDefault="00CB0AEE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Issue de la procédure QSE</w:t>
          </w:r>
        </w:p>
        <w:p w:rsidR="00CB0AEE" w:rsidRPr="007D6AF9" w:rsidRDefault="00CB0AEE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</w:p>
      </w:tc>
    </w:tr>
    <w:tr w:rsidR="00CB0AEE" w:rsidRPr="00C264C4" w:rsidTr="00EE288E">
      <w:tc>
        <w:tcPr>
          <w:tcW w:w="2509" w:type="dxa"/>
          <w:vAlign w:val="center"/>
        </w:tcPr>
        <w:p w:rsidR="00CB0AEE" w:rsidRPr="00253ABD" w:rsidRDefault="00CB0AEE" w:rsidP="009E21EB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proofErr w:type="spellStart"/>
          <w:r w:rsidRPr="00253ABD">
            <w:rPr>
              <w:rFonts w:ascii="Arial Narrow" w:hAnsi="Arial Narrow"/>
              <w:sz w:val="22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sz w:val="22"/>
              <w:lang w:val="en-GB"/>
            </w:rPr>
            <w:t xml:space="preserve">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INS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QSE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0</w:t>
          </w:r>
          <w:r w:rsidR="00D26F8E">
            <w:rPr>
              <w:rFonts w:ascii="Arial Narrow" w:hAnsi="Arial Narrow"/>
              <w:sz w:val="22"/>
              <w:lang w:val="en-GB"/>
            </w:rPr>
            <w:t>13</w:t>
          </w:r>
        </w:p>
        <w:p w:rsidR="00CB0AEE" w:rsidRPr="00253ABD" w:rsidRDefault="00CB0AEE" w:rsidP="009E21EB">
          <w:pPr>
            <w:pStyle w:val="En-tte"/>
            <w:jc w:val="center"/>
            <w:rPr>
              <w:rFonts w:ascii="Arial Narrow" w:hAnsi="Arial Narrow"/>
              <w:color w:val="808080"/>
              <w:lang w:val="en-GB"/>
            </w:rPr>
          </w:pPr>
        </w:p>
      </w:tc>
      <w:tc>
        <w:tcPr>
          <w:tcW w:w="5571" w:type="dxa"/>
        </w:tcPr>
        <w:p w:rsidR="00CB0AEE" w:rsidRPr="00D975C0" w:rsidRDefault="00CB0AEE" w:rsidP="0054002D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 xml:space="preserve">Consignes de sécurité pour l’utilisation de l’atelier de traitement de surface </w:t>
          </w:r>
        </w:p>
      </w:tc>
      <w:tc>
        <w:tcPr>
          <w:tcW w:w="2479" w:type="dxa"/>
          <w:vAlign w:val="center"/>
        </w:tcPr>
        <w:p w:rsidR="00CB0AEE" w:rsidRPr="007D6AF9" w:rsidRDefault="00CB0AEE" w:rsidP="009E21EB">
          <w:pPr>
            <w:pStyle w:val="En-tte"/>
            <w:rPr>
              <w:rFonts w:ascii="Arial Narrow" w:hAnsi="Arial Narrow"/>
              <w:sz w:val="22"/>
            </w:rPr>
          </w:pPr>
          <w:r w:rsidRPr="007D6AF9">
            <w:rPr>
              <w:rFonts w:ascii="Arial Narrow" w:hAnsi="Arial Narrow"/>
              <w:sz w:val="22"/>
            </w:rPr>
            <w:t>Date de création</w:t>
          </w:r>
        </w:p>
        <w:p w:rsidR="00CB0AEE" w:rsidRPr="007D6AF9" w:rsidRDefault="00CB0AEE" w:rsidP="009E21EB">
          <w:pPr>
            <w:pStyle w:val="En-tte"/>
            <w:jc w:val="right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Mars 2014</w:t>
          </w:r>
        </w:p>
        <w:p w:rsidR="00CB0AEE" w:rsidRPr="007D6AF9" w:rsidRDefault="00CB0AEE" w:rsidP="00DF7919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Version 1.0</w:t>
          </w:r>
        </w:p>
      </w:tc>
    </w:tr>
  </w:tbl>
  <w:p w:rsidR="00CB0AEE" w:rsidRDefault="00CB0AEE" w:rsidP="00E641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F4F"/>
    <w:multiLevelType w:val="hybridMultilevel"/>
    <w:tmpl w:val="D64CDC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420C8"/>
    <w:multiLevelType w:val="hybridMultilevel"/>
    <w:tmpl w:val="1A1886AA"/>
    <w:lvl w:ilvl="0" w:tplc="293427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3943"/>
    <w:multiLevelType w:val="hybridMultilevel"/>
    <w:tmpl w:val="F41EA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A454E"/>
    <w:multiLevelType w:val="multilevel"/>
    <w:tmpl w:val="2468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10DEC"/>
    <w:multiLevelType w:val="hybridMultilevel"/>
    <w:tmpl w:val="920C7FB4"/>
    <w:lvl w:ilvl="0" w:tplc="420E834E">
      <w:start w:val="1"/>
      <w:numFmt w:val="bullet"/>
      <w:lvlText w:val=""/>
      <w:lvlJc w:val="left"/>
      <w:pPr>
        <w:tabs>
          <w:tab w:val="num" w:pos="709"/>
        </w:tabs>
        <w:ind w:left="99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4940D59"/>
    <w:multiLevelType w:val="multilevel"/>
    <w:tmpl w:val="83E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25A6B"/>
    <w:multiLevelType w:val="hybridMultilevel"/>
    <w:tmpl w:val="B444075C"/>
    <w:lvl w:ilvl="0" w:tplc="BFAA7E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A393C"/>
    <w:multiLevelType w:val="hybridMultilevel"/>
    <w:tmpl w:val="C0D2BACC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25DD0"/>
    <w:multiLevelType w:val="hybridMultilevel"/>
    <w:tmpl w:val="538451C6"/>
    <w:lvl w:ilvl="0" w:tplc="C374C61A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DF667A7"/>
    <w:multiLevelType w:val="hybridMultilevel"/>
    <w:tmpl w:val="D66A26D4"/>
    <w:lvl w:ilvl="0" w:tplc="4058EB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C606B"/>
    <w:multiLevelType w:val="hybridMultilevel"/>
    <w:tmpl w:val="56C681C4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05B4E"/>
    <w:multiLevelType w:val="hybridMultilevel"/>
    <w:tmpl w:val="B708638E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E78A7"/>
    <w:multiLevelType w:val="multilevel"/>
    <w:tmpl w:val="027E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45A8C"/>
    <w:multiLevelType w:val="hybridMultilevel"/>
    <w:tmpl w:val="2A5ED336"/>
    <w:lvl w:ilvl="0" w:tplc="75DE63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93786C"/>
    <w:multiLevelType w:val="hybridMultilevel"/>
    <w:tmpl w:val="0CAEC0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C4B9D"/>
    <w:multiLevelType w:val="multilevel"/>
    <w:tmpl w:val="FCA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526AF"/>
    <w:multiLevelType w:val="hybridMultilevel"/>
    <w:tmpl w:val="86C80908"/>
    <w:lvl w:ilvl="0" w:tplc="889C530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521E0CD5"/>
    <w:multiLevelType w:val="hybridMultilevel"/>
    <w:tmpl w:val="56043EA0"/>
    <w:lvl w:ilvl="0" w:tplc="2028197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>
    <w:nsid w:val="57B2106A"/>
    <w:multiLevelType w:val="hybridMultilevel"/>
    <w:tmpl w:val="0C322230"/>
    <w:lvl w:ilvl="0" w:tplc="020E22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F2BC9"/>
    <w:multiLevelType w:val="multilevel"/>
    <w:tmpl w:val="1780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81435E"/>
    <w:multiLevelType w:val="hybridMultilevel"/>
    <w:tmpl w:val="AAD2BAF0"/>
    <w:lvl w:ilvl="0" w:tplc="54B062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B3E89"/>
    <w:multiLevelType w:val="hybridMultilevel"/>
    <w:tmpl w:val="B3C03B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2245A0"/>
    <w:multiLevelType w:val="hybridMultilevel"/>
    <w:tmpl w:val="B02AD01A"/>
    <w:lvl w:ilvl="0" w:tplc="6C601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724A5"/>
    <w:multiLevelType w:val="hybridMultilevel"/>
    <w:tmpl w:val="ED44E5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23"/>
  </w:num>
  <w:num w:numId="6">
    <w:abstractNumId w:val="17"/>
  </w:num>
  <w:num w:numId="7">
    <w:abstractNumId w:val="2"/>
  </w:num>
  <w:num w:numId="8">
    <w:abstractNumId w:val="16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13"/>
  </w:num>
  <w:num w:numId="15">
    <w:abstractNumId w:val="21"/>
  </w:num>
  <w:num w:numId="16">
    <w:abstractNumId w:val="22"/>
  </w:num>
  <w:num w:numId="17">
    <w:abstractNumId w:val="18"/>
  </w:num>
  <w:num w:numId="18">
    <w:abstractNumId w:val="19"/>
  </w:num>
  <w:num w:numId="19">
    <w:abstractNumId w:val="3"/>
  </w:num>
  <w:num w:numId="20">
    <w:abstractNumId w:val="15"/>
  </w:num>
  <w:num w:numId="21">
    <w:abstractNumId w:val="5"/>
  </w:num>
  <w:num w:numId="22">
    <w:abstractNumId w:val="12"/>
  </w:num>
  <w:num w:numId="23">
    <w:abstractNumId w:val="2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7605E8"/>
    <w:rsid w:val="00016C19"/>
    <w:rsid w:val="000179DE"/>
    <w:rsid w:val="000301B5"/>
    <w:rsid w:val="0007150D"/>
    <w:rsid w:val="00082E96"/>
    <w:rsid w:val="000959EC"/>
    <w:rsid w:val="000B0FA6"/>
    <w:rsid w:val="000D679C"/>
    <w:rsid w:val="00137E71"/>
    <w:rsid w:val="001C50BB"/>
    <w:rsid w:val="00236ADA"/>
    <w:rsid w:val="00251394"/>
    <w:rsid w:val="00257DB6"/>
    <w:rsid w:val="002A21B3"/>
    <w:rsid w:val="002D0A24"/>
    <w:rsid w:val="002E259E"/>
    <w:rsid w:val="0030001E"/>
    <w:rsid w:val="0031157F"/>
    <w:rsid w:val="00313FB7"/>
    <w:rsid w:val="003604E3"/>
    <w:rsid w:val="003B4975"/>
    <w:rsid w:val="004041E0"/>
    <w:rsid w:val="0046531F"/>
    <w:rsid w:val="004655D0"/>
    <w:rsid w:val="004B0F12"/>
    <w:rsid w:val="004B101B"/>
    <w:rsid w:val="004F6300"/>
    <w:rsid w:val="00521403"/>
    <w:rsid w:val="0054002D"/>
    <w:rsid w:val="005502FD"/>
    <w:rsid w:val="005815FA"/>
    <w:rsid w:val="005910D4"/>
    <w:rsid w:val="005A0875"/>
    <w:rsid w:val="005A72EB"/>
    <w:rsid w:val="005D59E9"/>
    <w:rsid w:val="00685CF9"/>
    <w:rsid w:val="0069644A"/>
    <w:rsid w:val="007605E8"/>
    <w:rsid w:val="00763162"/>
    <w:rsid w:val="007D5198"/>
    <w:rsid w:val="007F579C"/>
    <w:rsid w:val="00801E03"/>
    <w:rsid w:val="00804F45"/>
    <w:rsid w:val="00827C65"/>
    <w:rsid w:val="00835B31"/>
    <w:rsid w:val="00883166"/>
    <w:rsid w:val="008A4E8A"/>
    <w:rsid w:val="008F5586"/>
    <w:rsid w:val="0097752E"/>
    <w:rsid w:val="009803B3"/>
    <w:rsid w:val="009A5D50"/>
    <w:rsid w:val="009E21EB"/>
    <w:rsid w:val="00A90C68"/>
    <w:rsid w:val="00AD149E"/>
    <w:rsid w:val="00AE0E13"/>
    <w:rsid w:val="00B534D3"/>
    <w:rsid w:val="00B65299"/>
    <w:rsid w:val="00B77C1C"/>
    <w:rsid w:val="00B936A9"/>
    <w:rsid w:val="00BA0247"/>
    <w:rsid w:val="00C12EBE"/>
    <w:rsid w:val="00C37A99"/>
    <w:rsid w:val="00C62FD8"/>
    <w:rsid w:val="00C641E1"/>
    <w:rsid w:val="00C73902"/>
    <w:rsid w:val="00CB0AEE"/>
    <w:rsid w:val="00CB3A15"/>
    <w:rsid w:val="00CE6475"/>
    <w:rsid w:val="00D07A9B"/>
    <w:rsid w:val="00D26F8E"/>
    <w:rsid w:val="00D511B1"/>
    <w:rsid w:val="00DB5413"/>
    <w:rsid w:val="00DC78D9"/>
    <w:rsid w:val="00DF7919"/>
    <w:rsid w:val="00E21149"/>
    <w:rsid w:val="00E641D4"/>
    <w:rsid w:val="00E908B9"/>
    <w:rsid w:val="00EE288E"/>
    <w:rsid w:val="00F345FC"/>
    <w:rsid w:val="00F51328"/>
    <w:rsid w:val="00F9388C"/>
    <w:rsid w:val="00FA21E2"/>
    <w:rsid w:val="00FA4DDC"/>
    <w:rsid w:val="00FC5C56"/>
    <w:rsid w:val="00FF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1157F"/>
    <w:rPr>
      <w:b/>
      <w:bCs/>
    </w:rPr>
  </w:style>
  <w:style w:type="character" w:customStyle="1" w:styleId="note">
    <w:name w:val="note"/>
    <w:basedOn w:val="Policepardfaut"/>
    <w:rsid w:val="00311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679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FASCICULE</vt:lpstr>
    </vt:vector>
  </TitlesOfParts>
  <Company>LAL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FASCICULE</dc:title>
  <dc:creator>biron</dc:creator>
  <cp:lastModifiedBy>legrand</cp:lastModifiedBy>
  <cp:revision>13</cp:revision>
  <cp:lastPrinted>2014-03-18T15:19:00Z</cp:lastPrinted>
  <dcterms:created xsi:type="dcterms:W3CDTF">2014-03-13T16:15:00Z</dcterms:created>
  <dcterms:modified xsi:type="dcterms:W3CDTF">2014-03-19T11:20:00Z</dcterms:modified>
</cp:coreProperties>
</file>