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FA" w:rsidRPr="0097443A" w:rsidRDefault="005815FA">
      <w:pPr>
        <w:rPr>
          <w:color w:val="0000FF"/>
          <w:sz w:val="28"/>
          <w:szCs w:val="28"/>
          <w:u w:val="single"/>
        </w:rPr>
      </w:pPr>
      <w:r w:rsidRPr="0097443A">
        <w:rPr>
          <w:color w:val="0000FF"/>
          <w:sz w:val="28"/>
          <w:szCs w:val="28"/>
          <w:u w:val="single"/>
        </w:rPr>
        <w:t xml:space="preserve">1) </w:t>
      </w:r>
      <w:r w:rsidR="00BE0601">
        <w:rPr>
          <w:color w:val="0000FF"/>
          <w:sz w:val="28"/>
          <w:szCs w:val="28"/>
          <w:u w:val="single"/>
        </w:rPr>
        <w:t>Irradiation de cultures cellulaires et de molécules</w:t>
      </w:r>
      <w:r w:rsidR="00CB1B79">
        <w:rPr>
          <w:color w:val="0000FF"/>
          <w:sz w:val="28"/>
          <w:szCs w:val="28"/>
          <w:u w:val="single"/>
        </w:rPr>
        <w:t xml:space="preserve"> au GANIL</w:t>
      </w:r>
    </w:p>
    <w:p w:rsidR="005815FA" w:rsidRPr="00C36F71" w:rsidRDefault="005815FA">
      <w:pPr>
        <w:rPr>
          <w:sz w:val="16"/>
          <w:szCs w:val="16"/>
          <w:u w:val="single"/>
        </w:rPr>
      </w:pPr>
    </w:p>
    <w:p w:rsidR="00D70E65" w:rsidRPr="00ED3830" w:rsidRDefault="00BE0601" w:rsidP="00D70E65">
      <w:pPr>
        <w:jc w:val="both"/>
      </w:pPr>
      <w:r w:rsidRPr="00ED3830">
        <w:t xml:space="preserve">Pour les irradiations des </w:t>
      </w:r>
      <w:r w:rsidRPr="00ED3830">
        <w:rPr>
          <w:b/>
        </w:rPr>
        <w:t>agents biologiques du groupe 1</w:t>
      </w:r>
      <w:r w:rsidRPr="00ED3830">
        <w:t xml:space="preserve">, </w:t>
      </w:r>
      <w:r w:rsidR="005870A9" w:rsidRPr="00ED3830">
        <w:t>le transport des cellules doit être réalisé</w:t>
      </w:r>
      <w:r w:rsidR="00D70E65" w:rsidRPr="00ED3830">
        <w:t xml:space="preserve"> </w:t>
      </w:r>
      <w:r w:rsidRPr="00ED3830">
        <w:t xml:space="preserve">dans des </w:t>
      </w:r>
      <w:r w:rsidRPr="00ED3830">
        <w:rPr>
          <w:b/>
        </w:rPr>
        <w:t xml:space="preserve">flacons de culture </w:t>
      </w:r>
      <w:r w:rsidRPr="00ED3830">
        <w:t>(25 cm</w:t>
      </w:r>
      <w:r w:rsidRPr="00ED3830">
        <w:rPr>
          <w:vertAlign w:val="superscript"/>
        </w:rPr>
        <w:t>2</w:t>
      </w:r>
      <w:r w:rsidRPr="00ED3830">
        <w:t xml:space="preserve"> en polystyrène) ou </w:t>
      </w:r>
      <w:r w:rsidR="005870A9" w:rsidRPr="00ED3830">
        <w:t xml:space="preserve">des </w:t>
      </w:r>
      <w:r w:rsidRPr="00ED3830">
        <w:rPr>
          <w:b/>
        </w:rPr>
        <w:t>tubes étanches</w:t>
      </w:r>
      <w:r w:rsidRPr="00ED3830">
        <w:t xml:space="preserve"> (1,5 à 15 ml en polypropylène) </w:t>
      </w:r>
      <w:r w:rsidR="00D70E65" w:rsidRPr="00ED3830">
        <w:rPr>
          <w:b/>
        </w:rPr>
        <w:t xml:space="preserve">inséré </w:t>
      </w:r>
      <w:r w:rsidRPr="00ED3830">
        <w:rPr>
          <w:b/>
        </w:rPr>
        <w:t>dans une boîte isotherme (polystyrène) fermée hermétiquement</w:t>
      </w:r>
      <w:r w:rsidRPr="00ED3830">
        <w:t xml:space="preserve">. </w:t>
      </w:r>
    </w:p>
    <w:p w:rsidR="00CA0EFC" w:rsidRPr="00C36F71" w:rsidRDefault="00CA0EFC" w:rsidP="00C36F71">
      <w:pPr>
        <w:rPr>
          <w:sz w:val="16"/>
          <w:szCs w:val="16"/>
          <w:u w:val="single"/>
        </w:rPr>
      </w:pPr>
    </w:p>
    <w:p w:rsidR="00BE0601" w:rsidRPr="00ED3830" w:rsidRDefault="00D70E65" w:rsidP="00D70E65">
      <w:pPr>
        <w:jc w:val="both"/>
      </w:pPr>
      <w:r w:rsidRPr="00ED3830">
        <w:t>P</w:t>
      </w:r>
      <w:r w:rsidR="00BE0601" w:rsidRPr="00ED3830">
        <w:t xml:space="preserve">our </w:t>
      </w:r>
      <w:r w:rsidRPr="00ED3830">
        <w:t>les irradiations d</w:t>
      </w:r>
      <w:r w:rsidR="00BE0601" w:rsidRPr="00ED3830">
        <w:t xml:space="preserve">es </w:t>
      </w:r>
      <w:r w:rsidR="00BE0601" w:rsidRPr="00ED3830">
        <w:rPr>
          <w:b/>
        </w:rPr>
        <w:t>molécules isolées</w:t>
      </w:r>
      <w:r w:rsidRPr="00ED3830">
        <w:t xml:space="preserve">, le transport doit être réalisé </w:t>
      </w:r>
      <w:r w:rsidR="00BE0601" w:rsidRPr="00ED3830">
        <w:t xml:space="preserve">dans des </w:t>
      </w:r>
      <w:r w:rsidR="00BE0601" w:rsidRPr="00ED3830">
        <w:rPr>
          <w:b/>
        </w:rPr>
        <w:t>micro-tubes étanches</w:t>
      </w:r>
      <w:r w:rsidR="00BE0601" w:rsidRPr="00ED3830">
        <w:t xml:space="preserve"> (0,5 à 2 ml en polypropylène)</w:t>
      </w:r>
      <w:r w:rsidRPr="00ED3830">
        <w:t xml:space="preserve"> </w:t>
      </w:r>
      <w:r w:rsidRPr="00ED3830">
        <w:rPr>
          <w:b/>
        </w:rPr>
        <w:t>inséré</w:t>
      </w:r>
      <w:r w:rsidR="00D73A17">
        <w:rPr>
          <w:b/>
        </w:rPr>
        <w:t>s</w:t>
      </w:r>
      <w:r w:rsidRPr="00ED3830">
        <w:rPr>
          <w:b/>
        </w:rPr>
        <w:t xml:space="preserve"> dans une boîte isotherme (polystyrène) fermée hermétiquement</w:t>
      </w:r>
      <w:r w:rsidRPr="00ED3830">
        <w:t>.</w:t>
      </w:r>
    </w:p>
    <w:p w:rsidR="00CA0EFC" w:rsidRPr="00C36F71" w:rsidRDefault="00CA0EFC" w:rsidP="00C36F71">
      <w:pPr>
        <w:rPr>
          <w:sz w:val="16"/>
          <w:szCs w:val="16"/>
          <w:u w:val="single"/>
        </w:rPr>
      </w:pPr>
    </w:p>
    <w:p w:rsidR="00D70E65" w:rsidRPr="00ED3830" w:rsidRDefault="00FA47A1" w:rsidP="00BE0601">
      <w:pPr>
        <w:jc w:val="both"/>
      </w:pPr>
      <w:r w:rsidRPr="00ED3830">
        <w:t>Pour les irradiations de</w:t>
      </w:r>
      <w:r w:rsidR="00D70E65" w:rsidRPr="00ED3830">
        <w:t xml:space="preserve">s </w:t>
      </w:r>
      <w:r w:rsidR="00D70E65" w:rsidRPr="00ED3830">
        <w:rPr>
          <w:b/>
        </w:rPr>
        <w:t>agents biologiques du groupe</w:t>
      </w:r>
      <w:r w:rsidR="00CA0EFC" w:rsidRPr="00ED3830">
        <w:rPr>
          <w:b/>
        </w:rPr>
        <w:t xml:space="preserve"> 2</w:t>
      </w:r>
      <w:r w:rsidR="00D70E65" w:rsidRPr="00ED3830">
        <w:t xml:space="preserve"> : </w:t>
      </w:r>
    </w:p>
    <w:p w:rsidR="00D70E65" w:rsidRPr="00ED3830" w:rsidRDefault="00D70E65" w:rsidP="00D70E65">
      <w:pPr>
        <w:pStyle w:val="Paragraphedeliste"/>
        <w:numPr>
          <w:ilvl w:val="0"/>
          <w:numId w:val="25"/>
        </w:numPr>
        <w:jc w:val="both"/>
      </w:pPr>
      <w:r w:rsidRPr="00ED3830">
        <w:t>soit</w:t>
      </w:r>
      <w:r w:rsidR="00FA47A1" w:rsidRPr="00ED3830">
        <w:t xml:space="preserve"> </w:t>
      </w:r>
      <w:r w:rsidRPr="00ED3830">
        <w:t xml:space="preserve">les </w:t>
      </w:r>
      <w:r w:rsidRPr="00ED3830">
        <w:rPr>
          <w:b/>
        </w:rPr>
        <w:t>cellules sont lysée</w:t>
      </w:r>
      <w:r w:rsidR="00CA0EFC" w:rsidRPr="00ED3830">
        <w:rPr>
          <w:b/>
        </w:rPr>
        <w:t>s</w:t>
      </w:r>
      <w:r w:rsidRPr="00ED3830">
        <w:rPr>
          <w:b/>
        </w:rPr>
        <w:t xml:space="preserve"> et fixée</w:t>
      </w:r>
      <w:r w:rsidR="00CA0EFC" w:rsidRPr="00ED3830">
        <w:rPr>
          <w:b/>
        </w:rPr>
        <w:t>s</w:t>
      </w:r>
      <w:r w:rsidRPr="00ED3830">
        <w:t xml:space="preserve"> – dans ce cas elles doivent être transportées dans les conditions des agents biologiques du groupe 1</w:t>
      </w:r>
    </w:p>
    <w:p w:rsidR="00FA47A1" w:rsidRPr="00ED3830" w:rsidRDefault="00FA47A1" w:rsidP="00D70E65">
      <w:pPr>
        <w:pStyle w:val="Paragraphedeliste"/>
        <w:numPr>
          <w:ilvl w:val="0"/>
          <w:numId w:val="25"/>
        </w:numPr>
        <w:jc w:val="both"/>
      </w:pPr>
      <w:r w:rsidRPr="00ED3830">
        <w:t xml:space="preserve">soit les </w:t>
      </w:r>
      <w:r w:rsidR="00D70E65" w:rsidRPr="00ED3830">
        <w:rPr>
          <w:b/>
        </w:rPr>
        <w:t>cellules sont vivantes</w:t>
      </w:r>
      <w:r w:rsidR="00D70E65" w:rsidRPr="00ED3830">
        <w:t xml:space="preserve"> – dans ce cas elles doivent être transportées </w:t>
      </w:r>
      <w:r w:rsidRPr="00ED3830">
        <w:t xml:space="preserve">dans un </w:t>
      </w:r>
      <w:r w:rsidRPr="00ED3830">
        <w:rPr>
          <w:b/>
        </w:rPr>
        <w:t xml:space="preserve">triple emballage </w:t>
      </w:r>
      <w:r w:rsidR="006B1504">
        <w:t>(emballages primaire et secondaire étanches</w:t>
      </w:r>
      <w:r w:rsidR="00CA0EFC" w:rsidRPr="00ED3830">
        <w:t>)</w:t>
      </w:r>
      <w:r w:rsidRPr="00ED3830">
        <w:t>.</w:t>
      </w:r>
    </w:p>
    <w:p w:rsidR="00CA0EFC" w:rsidRPr="00C36F71" w:rsidRDefault="00CA0EFC" w:rsidP="00C36F71">
      <w:pPr>
        <w:rPr>
          <w:sz w:val="16"/>
          <w:szCs w:val="16"/>
          <w:u w:val="single"/>
        </w:rPr>
      </w:pPr>
    </w:p>
    <w:p w:rsidR="00FA47A1" w:rsidRPr="00ED3830" w:rsidRDefault="00CA0EFC" w:rsidP="00BE0601">
      <w:pPr>
        <w:jc w:val="both"/>
      </w:pPr>
      <w:r w:rsidRPr="00ED3830">
        <w:t>Dans tous les cas l</w:t>
      </w:r>
      <w:r w:rsidR="00FA47A1" w:rsidRPr="00ED3830">
        <w:t xml:space="preserve">es </w:t>
      </w:r>
      <w:r w:rsidR="00FA47A1" w:rsidRPr="00ED3830">
        <w:rPr>
          <w:b/>
        </w:rPr>
        <w:t>flacons, tubes et micro-tubes doivent être décontaminé</w:t>
      </w:r>
      <w:r w:rsidRPr="00ED3830">
        <w:rPr>
          <w:b/>
        </w:rPr>
        <w:t>s</w:t>
      </w:r>
      <w:r w:rsidR="00FA47A1" w:rsidRPr="00ED3830">
        <w:rPr>
          <w:b/>
        </w:rPr>
        <w:t xml:space="preserve"> avant</w:t>
      </w:r>
      <w:r w:rsidR="00FA47A1" w:rsidRPr="00ED3830">
        <w:t xml:space="preserve"> de sortir du LARIA. </w:t>
      </w:r>
    </w:p>
    <w:p w:rsidR="00BE0601" w:rsidRPr="00C36F71" w:rsidRDefault="00BE0601" w:rsidP="00C36F71">
      <w:pPr>
        <w:rPr>
          <w:sz w:val="16"/>
          <w:szCs w:val="16"/>
          <w:u w:val="single"/>
        </w:rPr>
      </w:pPr>
    </w:p>
    <w:p w:rsidR="005870A9" w:rsidRPr="00ED3830" w:rsidRDefault="005870A9" w:rsidP="005870A9">
      <w:pPr>
        <w:jc w:val="center"/>
        <w:rPr>
          <w:b/>
          <w:color w:val="FF0000"/>
        </w:rPr>
      </w:pPr>
      <w:r w:rsidRPr="00ED3830">
        <w:rPr>
          <w:b/>
          <w:color w:val="FF0000"/>
        </w:rPr>
        <w:t>L’ouverture des flacons de cultures contenant des cellules encore vivantes est interdite excepté sous les PSM de la pièce 55 du LARIA.</w:t>
      </w:r>
    </w:p>
    <w:p w:rsidR="00BE0601" w:rsidRPr="00C36F71" w:rsidRDefault="00BE0601" w:rsidP="00E641D4">
      <w:pPr>
        <w:rPr>
          <w:sz w:val="16"/>
          <w:szCs w:val="16"/>
          <w:u w:val="single"/>
        </w:rPr>
      </w:pPr>
    </w:p>
    <w:p w:rsidR="005815FA" w:rsidRPr="0097443A" w:rsidRDefault="005815FA">
      <w:pPr>
        <w:rPr>
          <w:color w:val="0000FF"/>
          <w:sz w:val="28"/>
          <w:szCs w:val="28"/>
          <w:u w:val="single"/>
        </w:rPr>
      </w:pPr>
      <w:r w:rsidRPr="0097443A">
        <w:rPr>
          <w:color w:val="0000FF"/>
          <w:sz w:val="28"/>
          <w:szCs w:val="28"/>
          <w:u w:val="single"/>
        </w:rPr>
        <w:t xml:space="preserve">2) </w:t>
      </w:r>
      <w:r w:rsidR="00FA47A1">
        <w:rPr>
          <w:color w:val="0000FF"/>
          <w:sz w:val="28"/>
          <w:szCs w:val="28"/>
          <w:u w:val="single"/>
        </w:rPr>
        <w:t>Gestion des déchets après irradiation</w:t>
      </w:r>
    </w:p>
    <w:p w:rsidR="005815FA" w:rsidRPr="00C36F71" w:rsidRDefault="005815FA">
      <w:pPr>
        <w:rPr>
          <w:sz w:val="16"/>
          <w:szCs w:val="16"/>
          <w:u w:val="single"/>
        </w:rPr>
      </w:pPr>
    </w:p>
    <w:p w:rsidR="00007CDA" w:rsidRPr="00ED3830" w:rsidRDefault="00007CDA" w:rsidP="00CA0EFC">
      <w:pPr>
        <w:jc w:val="both"/>
      </w:pPr>
      <w:r w:rsidRPr="00ED3830">
        <w:t xml:space="preserve">Les </w:t>
      </w:r>
      <w:r w:rsidRPr="00ED3830">
        <w:rPr>
          <w:b/>
        </w:rPr>
        <w:t>flacons, tubes et micro-tubes usagés ayant été exposé au faisceau</w:t>
      </w:r>
      <w:r w:rsidRPr="00ED3830">
        <w:t xml:space="preserve"> du GANIL doivent être évacué dans la </w:t>
      </w:r>
      <w:r w:rsidRPr="00ED3830">
        <w:rPr>
          <w:b/>
        </w:rPr>
        <w:t>filière des déchets TFA (fût bleu ANDRA)</w:t>
      </w:r>
    </w:p>
    <w:p w:rsidR="00007CDA" w:rsidRPr="00C36F71" w:rsidRDefault="00007CDA" w:rsidP="00C36F71">
      <w:pPr>
        <w:rPr>
          <w:sz w:val="16"/>
          <w:szCs w:val="16"/>
          <w:u w:val="single"/>
        </w:rPr>
      </w:pPr>
    </w:p>
    <w:p w:rsidR="00007CDA" w:rsidRPr="0097443A" w:rsidRDefault="005870A9" w:rsidP="00007CDA">
      <w:pPr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3</w:t>
      </w:r>
      <w:r w:rsidR="00007CDA" w:rsidRPr="0097443A">
        <w:rPr>
          <w:color w:val="0000FF"/>
          <w:sz w:val="28"/>
          <w:szCs w:val="28"/>
          <w:u w:val="single"/>
        </w:rPr>
        <w:t xml:space="preserve">) </w:t>
      </w:r>
      <w:r w:rsidR="00007CDA">
        <w:rPr>
          <w:color w:val="0000FF"/>
          <w:sz w:val="28"/>
          <w:szCs w:val="28"/>
          <w:u w:val="single"/>
        </w:rPr>
        <w:t>Sorti à l’extérieur du GANIL</w:t>
      </w:r>
    </w:p>
    <w:p w:rsidR="00007CDA" w:rsidRPr="00C36F71" w:rsidRDefault="00007CDA">
      <w:pPr>
        <w:rPr>
          <w:sz w:val="16"/>
          <w:szCs w:val="16"/>
          <w:u w:val="single"/>
        </w:rPr>
      </w:pPr>
    </w:p>
    <w:p w:rsidR="00396D18" w:rsidRPr="00ED3830" w:rsidRDefault="00396D18" w:rsidP="00D73A17">
      <w:pPr>
        <w:jc w:val="both"/>
      </w:pPr>
      <w:r w:rsidRPr="00ED3830">
        <w:t xml:space="preserve">Lorsque les échantillons irradiés doivent être envoyé dans un </w:t>
      </w:r>
      <w:r w:rsidRPr="00ED3830">
        <w:rPr>
          <w:b/>
        </w:rPr>
        <w:t>laboratoire à l’extérieur du GANIL</w:t>
      </w:r>
      <w:r w:rsidRPr="00ED3830">
        <w:t xml:space="preserve">, ces derniers doivent avoir été </w:t>
      </w:r>
      <w:r w:rsidR="00CA0EFC" w:rsidRPr="00ED3830">
        <w:rPr>
          <w:b/>
        </w:rPr>
        <w:t>contrôlés</w:t>
      </w:r>
      <w:r w:rsidRPr="00ED3830">
        <w:rPr>
          <w:b/>
        </w:rPr>
        <w:t xml:space="preserve"> par le SPR</w:t>
      </w:r>
      <w:r w:rsidRPr="00ED3830">
        <w:t xml:space="preserve"> qui délivrera une </w:t>
      </w:r>
      <w:r w:rsidRPr="00ED3830">
        <w:rPr>
          <w:b/>
        </w:rPr>
        <w:t>autorisation de sortie</w:t>
      </w:r>
      <w:r w:rsidRPr="00ED3830">
        <w:t xml:space="preserve"> </w:t>
      </w:r>
      <w:r w:rsidR="00CA0EFC" w:rsidRPr="00ED3830">
        <w:rPr>
          <w:b/>
        </w:rPr>
        <w:t>de l’INB</w:t>
      </w:r>
      <w:r w:rsidR="00CA0EFC" w:rsidRPr="00ED3830">
        <w:t xml:space="preserve"> </w:t>
      </w:r>
      <w:r w:rsidRPr="00ED3830">
        <w:t xml:space="preserve">selon les résultats du contrôle radiologique. Cette autorisation est </w:t>
      </w:r>
      <w:r w:rsidR="00CA0EFC" w:rsidRPr="00ED3830">
        <w:t>assujettie</w:t>
      </w:r>
      <w:r w:rsidRPr="00ED3830">
        <w:t xml:space="preserve"> aux autorisations de détention de radionucléides et aux filières d’élimination de déchets radioactifs dont dispose le laboratoire </w:t>
      </w:r>
      <w:r w:rsidR="00CA0EFC" w:rsidRPr="00ED3830">
        <w:t>extérieur</w:t>
      </w:r>
      <w:r w:rsidRPr="00ED3830">
        <w:t xml:space="preserve">. </w:t>
      </w:r>
    </w:p>
    <w:p w:rsidR="00396D18" w:rsidRPr="00ED3830" w:rsidRDefault="00396D18" w:rsidP="00D73A17">
      <w:pPr>
        <w:jc w:val="both"/>
      </w:pPr>
      <w:r w:rsidRPr="00ED3830">
        <w:t xml:space="preserve">Lorsqu’un grand nombre d’échantillons sont irradiés le contrôle du SPR peut être réalisé sur un </w:t>
      </w:r>
      <w:r w:rsidRPr="00ED3830">
        <w:rPr>
          <w:b/>
        </w:rPr>
        <w:t>échantillon témoin exposé à la dose la plus élevée</w:t>
      </w:r>
      <w:r w:rsidRPr="00ED3830">
        <w:t xml:space="preserve"> demandée par les expérimentateurs. </w:t>
      </w:r>
    </w:p>
    <w:p w:rsidR="00ED3830" w:rsidRPr="00C36F71" w:rsidRDefault="00ED3830" w:rsidP="00C36F71">
      <w:pPr>
        <w:rPr>
          <w:sz w:val="16"/>
          <w:szCs w:val="16"/>
          <w:u w:val="single"/>
        </w:rPr>
      </w:pPr>
    </w:p>
    <w:p w:rsidR="00396D18" w:rsidRPr="00ED3830" w:rsidRDefault="00ED3830" w:rsidP="00D73A17">
      <w:pPr>
        <w:jc w:val="both"/>
      </w:pPr>
      <w:r w:rsidRPr="00ED3830">
        <w:t xml:space="preserve">Le </w:t>
      </w:r>
      <w:r w:rsidRPr="00ED3830">
        <w:rPr>
          <w:b/>
        </w:rPr>
        <w:t>transport doit être spécialement autorisé par le conseiller TMD</w:t>
      </w:r>
      <w:r w:rsidRPr="00ED3830">
        <w:t xml:space="preserve"> (Transport Matières Dangereuses) du GANIL qui validera les</w:t>
      </w:r>
      <w:r w:rsidR="00396D18" w:rsidRPr="00ED3830">
        <w:t xml:space="preserve"> conditions de transport </w:t>
      </w:r>
      <w:r w:rsidRPr="00ED3830">
        <w:t xml:space="preserve">pour les risques biologiques et radiologiques. </w:t>
      </w:r>
    </w:p>
    <w:p w:rsidR="00ED3830" w:rsidRPr="00C36F71" w:rsidRDefault="00ED3830" w:rsidP="00C36F71">
      <w:pPr>
        <w:rPr>
          <w:sz w:val="16"/>
          <w:szCs w:val="16"/>
          <w:u w:val="single"/>
        </w:rPr>
      </w:pPr>
    </w:p>
    <w:p w:rsidR="00ED3830" w:rsidRPr="00ED3830" w:rsidRDefault="00ED3830" w:rsidP="00D73A17">
      <w:pPr>
        <w:jc w:val="both"/>
        <w:rPr>
          <w:u w:val="single"/>
        </w:rPr>
      </w:pPr>
      <w:r w:rsidRPr="00ED3830">
        <w:rPr>
          <w:u w:val="single"/>
        </w:rPr>
        <w:t xml:space="preserve">Contacts : </w:t>
      </w:r>
    </w:p>
    <w:p w:rsidR="00396D18" w:rsidRPr="00ED3830" w:rsidRDefault="00396D18" w:rsidP="00D73A17">
      <w:pPr>
        <w:jc w:val="both"/>
      </w:pPr>
      <w:r w:rsidRPr="00ED3830">
        <w:t>Conseiller TMD : Marie Emilie LUCAS 02.31.45</w:t>
      </w:r>
      <w:r w:rsidR="00ED3830" w:rsidRPr="00ED3830">
        <w:t>.47.74</w:t>
      </w:r>
    </w:p>
    <w:p w:rsidR="00396D18" w:rsidRPr="00ED3830" w:rsidRDefault="00396D18" w:rsidP="00D73A17">
      <w:pPr>
        <w:jc w:val="both"/>
      </w:pPr>
      <w:r w:rsidRPr="00ED3830">
        <w:t xml:space="preserve">Permanence SPR : </w:t>
      </w:r>
      <w:r w:rsidR="00ED3830" w:rsidRPr="00ED3830">
        <w:t>02.31.45.47.</w:t>
      </w:r>
      <w:r w:rsidRPr="00ED3830">
        <w:t>13</w:t>
      </w:r>
    </w:p>
    <w:p w:rsidR="00396D18" w:rsidRPr="00C36F71" w:rsidRDefault="00396D18" w:rsidP="00C36F71">
      <w:pPr>
        <w:rPr>
          <w:sz w:val="16"/>
          <w:szCs w:val="16"/>
          <w:u w:val="single"/>
        </w:rPr>
      </w:pPr>
    </w:p>
    <w:p w:rsidR="00C36F71" w:rsidRPr="00C36F71" w:rsidRDefault="00C36F71" w:rsidP="00C36F71">
      <w:pPr>
        <w:rPr>
          <w:color w:val="0000FF"/>
          <w:sz w:val="28"/>
          <w:szCs w:val="28"/>
          <w:u w:val="single"/>
        </w:rPr>
      </w:pPr>
      <w:r w:rsidRPr="00C36F71">
        <w:rPr>
          <w:color w:val="0000FF"/>
          <w:sz w:val="28"/>
          <w:szCs w:val="28"/>
          <w:u w:val="single"/>
        </w:rPr>
        <w:t>4) Introduction de matériel irradié</w:t>
      </w:r>
    </w:p>
    <w:p w:rsidR="00C36F71" w:rsidRPr="00C36F71" w:rsidRDefault="00C36F71" w:rsidP="00C36F71">
      <w:pPr>
        <w:rPr>
          <w:sz w:val="16"/>
          <w:szCs w:val="16"/>
          <w:u w:val="single"/>
        </w:rPr>
      </w:pPr>
    </w:p>
    <w:p w:rsidR="00007CDA" w:rsidRPr="00CB1B79" w:rsidRDefault="00C36F71" w:rsidP="00C36F71">
      <w:pPr>
        <w:jc w:val="both"/>
      </w:pPr>
      <w:r w:rsidRPr="00CB1B79">
        <w:t xml:space="preserve">Tout échantillon ayant été soumis à une </w:t>
      </w:r>
      <w:r w:rsidRPr="00CB1B79">
        <w:rPr>
          <w:b/>
        </w:rPr>
        <w:t>irradiation suffisante pour activer la matière</w:t>
      </w:r>
      <w:r w:rsidRPr="00CB1B79">
        <w:t xml:space="preserve"> à l’extérieur du GANIL (Centre François </w:t>
      </w:r>
      <w:proofErr w:type="spellStart"/>
      <w:r w:rsidRPr="00CB1B79">
        <w:t>Baclesse</w:t>
      </w:r>
      <w:proofErr w:type="spellEnd"/>
      <w:r w:rsidRPr="00CB1B79">
        <w:t>, CYCERON, ARCHADE…) doit faire l’objet d’</w:t>
      </w:r>
      <w:r w:rsidR="003140FF" w:rsidRPr="00CB1B79">
        <w:t>une spectrométrie G</w:t>
      </w:r>
      <w:r w:rsidRPr="00CB1B79">
        <w:t xml:space="preserve">amma. Selon les résultats de la spectrométrie Gamma, le SPR autorisera ou non l’introduction de l’échantillon sur le site du GANIL. </w:t>
      </w:r>
    </w:p>
    <w:sectPr w:rsidR="00007CDA" w:rsidRPr="00CB1B79" w:rsidSect="00BA0247">
      <w:headerReference w:type="default" r:id="rId7"/>
      <w:footerReference w:type="default" r:id="rId8"/>
      <w:type w:val="continuous"/>
      <w:pgSz w:w="11906" w:h="16838" w:code="9"/>
      <w:pgMar w:top="851" w:right="851" w:bottom="284" w:left="85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46" w:rsidRDefault="00BD5546">
      <w:r>
        <w:separator/>
      </w:r>
    </w:p>
  </w:endnote>
  <w:endnote w:type="continuationSeparator" w:id="0">
    <w:p w:rsidR="00BD5546" w:rsidRDefault="00BD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46" w:rsidRDefault="00BD5546">
    <w:pPr>
      <w:pStyle w:val="Pieddepage"/>
      <w:rPr>
        <w:color w:val="000000"/>
        <w:sz w:val="16"/>
        <w:szCs w:val="16"/>
      </w:rPr>
    </w:pPr>
    <w:r>
      <w:tab/>
    </w:r>
    <w:r>
      <w:tab/>
    </w:r>
    <w:r>
      <w:tab/>
    </w:r>
    <w:r>
      <w:rPr>
        <w:color w:val="000000"/>
        <w:sz w:val="16"/>
        <w:szCs w:val="16"/>
      </w:rPr>
      <w:t xml:space="preserve">Page </w:t>
    </w:r>
    <w:r w:rsidR="00AC6194">
      <w:rPr>
        <w:rStyle w:val="Numrodepage"/>
        <w:color w:val="000000"/>
        <w:sz w:val="16"/>
        <w:szCs w:val="16"/>
      </w:rPr>
      <w:fldChar w:fldCharType="begin"/>
    </w:r>
    <w:r>
      <w:rPr>
        <w:rStyle w:val="Numrodepage"/>
        <w:color w:val="000000"/>
        <w:sz w:val="16"/>
        <w:szCs w:val="16"/>
      </w:rPr>
      <w:instrText xml:space="preserve"> PAGE </w:instrText>
    </w:r>
    <w:r w:rsidR="00AC6194">
      <w:rPr>
        <w:rStyle w:val="Numrodepage"/>
        <w:color w:val="000000"/>
        <w:sz w:val="16"/>
        <w:szCs w:val="16"/>
      </w:rPr>
      <w:fldChar w:fldCharType="separate"/>
    </w:r>
    <w:r w:rsidR="00CB1B79">
      <w:rPr>
        <w:rStyle w:val="Numrodepage"/>
        <w:noProof/>
        <w:color w:val="000000"/>
        <w:sz w:val="16"/>
        <w:szCs w:val="16"/>
      </w:rPr>
      <w:t>1</w:t>
    </w:r>
    <w:r w:rsidR="00AC6194">
      <w:rPr>
        <w:rStyle w:val="Numrodepage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46" w:rsidRDefault="00BD5546">
      <w:r>
        <w:separator/>
      </w:r>
    </w:p>
  </w:footnote>
  <w:footnote w:type="continuationSeparator" w:id="0">
    <w:p w:rsidR="00BD5546" w:rsidRDefault="00BD5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59" w:type="dxa"/>
      <w:jc w:val="center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2509"/>
      <w:gridCol w:w="5571"/>
      <w:gridCol w:w="2479"/>
    </w:tblGrid>
    <w:tr w:rsidR="00BD5546" w:rsidRPr="00C264C4" w:rsidTr="009E21EB">
      <w:trPr>
        <w:trHeight w:val="556"/>
        <w:jc w:val="center"/>
      </w:trPr>
      <w:tc>
        <w:tcPr>
          <w:tcW w:w="2509" w:type="dxa"/>
          <w:vMerge w:val="restart"/>
        </w:tcPr>
        <w:p w:rsidR="00BD5546" w:rsidRPr="00534EC6" w:rsidRDefault="00BD5546" w:rsidP="009E21EB">
          <w:r w:rsidRPr="00DF7919">
            <w:rPr>
              <w:noProof/>
            </w:rPr>
            <w:drawing>
              <wp:inline distT="0" distB="0" distL="0" distR="0">
                <wp:extent cx="1391285" cy="538480"/>
                <wp:effectExtent l="19050" t="0" r="0" b="0"/>
                <wp:docPr id="1" name="Image 1" descr="lettre ha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re ha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  <w:vMerge w:val="restart"/>
        </w:tcPr>
        <w:p w:rsidR="00BD5546" w:rsidRPr="00534EC6" w:rsidRDefault="00BD5546" w:rsidP="00DF7919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 w:rsidRPr="00C264C4">
            <w:rPr>
              <w:rFonts w:ascii="Arial Narrow" w:hAnsi="Arial Narrow"/>
            </w:rPr>
            <w:br/>
          </w:r>
          <w:r>
            <w:rPr>
              <w:rFonts w:ascii="Arial Narrow" w:hAnsi="Arial Narrow"/>
              <w:b/>
              <w:sz w:val="32"/>
            </w:rPr>
            <w:t>Cellule QSE</w:t>
          </w:r>
          <w:r>
            <w:rPr>
              <w:rFonts w:ascii="Arial Narrow" w:hAnsi="Arial Narrow"/>
              <w:b/>
              <w:sz w:val="32"/>
            </w:rPr>
            <w:br/>
            <w:t>LARIA</w:t>
          </w:r>
        </w:p>
      </w:tc>
      <w:tc>
        <w:tcPr>
          <w:tcW w:w="2479" w:type="dxa"/>
          <w:shd w:val="clear" w:color="auto" w:fill="F3F3F3"/>
          <w:vAlign w:val="center"/>
        </w:tcPr>
        <w:p w:rsidR="00BD5546" w:rsidRPr="00534EC6" w:rsidRDefault="00BD5546" w:rsidP="009E21EB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outline/>
              <w:sz w:val="32"/>
            </w:rPr>
            <w:t>INSTRUCTION</w:t>
          </w:r>
        </w:p>
      </w:tc>
    </w:tr>
    <w:tr w:rsidR="00BD5546" w:rsidRPr="00C264C4" w:rsidTr="009E21EB">
      <w:trPr>
        <w:trHeight w:val="500"/>
        <w:jc w:val="center"/>
      </w:trPr>
      <w:tc>
        <w:tcPr>
          <w:tcW w:w="2509" w:type="dxa"/>
          <w:vMerge/>
          <w:vAlign w:val="center"/>
        </w:tcPr>
        <w:p w:rsidR="00BD5546" w:rsidRPr="006B583B" w:rsidRDefault="00BD5546" w:rsidP="009E21EB">
          <w:pPr>
            <w:pStyle w:val="En-tte"/>
            <w:jc w:val="center"/>
            <w:rPr>
              <w:rFonts w:ascii="Arial Narrow" w:hAnsi="Arial Narrow"/>
              <w:color w:val="808080"/>
            </w:rPr>
          </w:pPr>
        </w:p>
      </w:tc>
      <w:tc>
        <w:tcPr>
          <w:tcW w:w="5571" w:type="dxa"/>
          <w:vMerge/>
        </w:tcPr>
        <w:p w:rsidR="00BD5546" w:rsidRPr="00C264C4" w:rsidRDefault="00BD5546" w:rsidP="009E21EB">
          <w:pPr>
            <w:pStyle w:val="En-tte"/>
            <w:jc w:val="center"/>
            <w:rPr>
              <w:rFonts w:ascii="Arial Narrow" w:hAnsi="Arial Narrow"/>
            </w:rPr>
          </w:pPr>
        </w:p>
      </w:tc>
      <w:tc>
        <w:tcPr>
          <w:tcW w:w="2479" w:type="dxa"/>
          <w:vAlign w:val="center"/>
        </w:tcPr>
        <w:p w:rsidR="00BD5546" w:rsidRDefault="00BD5546" w:rsidP="009E21EB">
          <w:pPr>
            <w:pStyle w:val="En-tte"/>
            <w:jc w:val="center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 xml:space="preserve">Issue de la procédure </w:t>
          </w:r>
        </w:p>
        <w:p w:rsidR="00BD5546" w:rsidRPr="007D6AF9" w:rsidRDefault="00BD5546" w:rsidP="009E21EB">
          <w:pPr>
            <w:pStyle w:val="En-tte"/>
            <w:jc w:val="center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CIMAP-PRO-QSE-004</w:t>
          </w:r>
        </w:p>
      </w:tc>
    </w:tr>
    <w:tr w:rsidR="00BD5546" w:rsidRPr="00C264C4" w:rsidTr="00775852">
      <w:trPr>
        <w:jc w:val="center"/>
      </w:trPr>
      <w:tc>
        <w:tcPr>
          <w:tcW w:w="2509" w:type="dxa"/>
          <w:vAlign w:val="center"/>
        </w:tcPr>
        <w:p w:rsidR="00BD5546" w:rsidRPr="00253ABD" w:rsidRDefault="00BD5546" w:rsidP="009E21EB">
          <w:pPr>
            <w:pStyle w:val="En-tte"/>
            <w:jc w:val="center"/>
            <w:rPr>
              <w:rFonts w:ascii="Arial Narrow" w:hAnsi="Arial Narrow"/>
              <w:sz w:val="22"/>
              <w:lang w:val="en-GB"/>
            </w:rPr>
          </w:pPr>
          <w:proofErr w:type="spellStart"/>
          <w:r w:rsidRPr="00253ABD">
            <w:rPr>
              <w:rFonts w:ascii="Arial Narrow" w:hAnsi="Arial Narrow"/>
              <w:sz w:val="22"/>
              <w:lang w:val="en-GB"/>
            </w:rPr>
            <w:t>Réf</w:t>
          </w:r>
          <w:proofErr w:type="spellEnd"/>
          <w:r w:rsidRPr="00253ABD">
            <w:rPr>
              <w:rFonts w:ascii="Arial Narrow" w:hAnsi="Arial Narrow"/>
              <w:sz w:val="22"/>
              <w:lang w:val="en-GB"/>
            </w:rPr>
            <w:t xml:space="preserve">. </w:t>
          </w:r>
          <w:r>
            <w:rPr>
              <w:rFonts w:ascii="Arial Narrow" w:hAnsi="Arial Narrow"/>
              <w:sz w:val="22"/>
              <w:lang w:val="en-GB"/>
            </w:rPr>
            <w:t>CIMAP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INS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QSE</w:t>
          </w:r>
          <w:r w:rsidRPr="00253ABD">
            <w:rPr>
              <w:rFonts w:ascii="Arial Narrow" w:hAnsi="Arial Narrow"/>
              <w:sz w:val="22"/>
              <w:lang w:val="en-GB"/>
            </w:rPr>
            <w:t>-</w:t>
          </w:r>
          <w:r>
            <w:rPr>
              <w:rFonts w:ascii="Arial Narrow" w:hAnsi="Arial Narrow"/>
              <w:sz w:val="22"/>
              <w:lang w:val="en-GB"/>
            </w:rPr>
            <w:t>0</w:t>
          </w:r>
          <w:r w:rsidR="00D42033">
            <w:rPr>
              <w:rFonts w:ascii="Arial Narrow" w:hAnsi="Arial Narrow"/>
              <w:sz w:val="22"/>
              <w:lang w:val="en-GB"/>
            </w:rPr>
            <w:t>35</w:t>
          </w:r>
        </w:p>
        <w:p w:rsidR="00BD5546" w:rsidRPr="00253ABD" w:rsidRDefault="00BD5546" w:rsidP="009E21EB">
          <w:pPr>
            <w:pStyle w:val="En-tte"/>
            <w:jc w:val="center"/>
            <w:rPr>
              <w:rFonts w:ascii="Arial Narrow" w:hAnsi="Arial Narrow"/>
              <w:color w:val="808080"/>
              <w:lang w:val="en-GB"/>
            </w:rPr>
          </w:pPr>
        </w:p>
      </w:tc>
      <w:tc>
        <w:tcPr>
          <w:tcW w:w="5571" w:type="dxa"/>
          <w:vAlign w:val="center"/>
        </w:tcPr>
        <w:p w:rsidR="00BD5546" w:rsidRPr="00D975C0" w:rsidRDefault="00BD5546" w:rsidP="00CB1B79">
          <w:pPr>
            <w:pStyle w:val="En-tte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" w:hAnsi="Arial"/>
              <w:b/>
              <w:bCs/>
              <w:sz w:val="28"/>
              <w:szCs w:val="28"/>
            </w:rPr>
            <w:t xml:space="preserve">Irradiation d’agents Biologiques </w:t>
          </w:r>
        </w:p>
      </w:tc>
      <w:tc>
        <w:tcPr>
          <w:tcW w:w="2479" w:type="dxa"/>
          <w:vAlign w:val="center"/>
        </w:tcPr>
        <w:p w:rsidR="00BD5546" w:rsidRPr="007D6AF9" w:rsidRDefault="00BD5546" w:rsidP="009E21EB">
          <w:pPr>
            <w:pStyle w:val="En-tte"/>
            <w:rPr>
              <w:rFonts w:ascii="Arial Narrow" w:hAnsi="Arial Narrow"/>
              <w:sz w:val="22"/>
            </w:rPr>
          </w:pPr>
          <w:r w:rsidRPr="007D6AF9">
            <w:rPr>
              <w:rFonts w:ascii="Arial Narrow" w:hAnsi="Arial Narrow"/>
              <w:sz w:val="22"/>
            </w:rPr>
            <w:t>Date de création</w:t>
          </w:r>
        </w:p>
        <w:p w:rsidR="00BD5546" w:rsidRPr="007D6AF9" w:rsidRDefault="00D42033" w:rsidP="009E21EB">
          <w:pPr>
            <w:pStyle w:val="En-tte"/>
            <w:jc w:val="right"/>
            <w:rPr>
              <w:rFonts w:ascii="Arial Narrow" w:hAnsi="Arial Narrow"/>
              <w:sz w:val="22"/>
            </w:rPr>
          </w:pPr>
          <w:proofErr w:type="spellStart"/>
          <w:r>
            <w:rPr>
              <w:rFonts w:ascii="Arial Narrow" w:hAnsi="Arial Narrow"/>
              <w:sz w:val="22"/>
            </w:rPr>
            <w:t>Oct</w:t>
          </w:r>
          <w:proofErr w:type="spellEnd"/>
          <w:r w:rsidR="00BD5546">
            <w:rPr>
              <w:rFonts w:ascii="Arial Narrow" w:hAnsi="Arial Narrow"/>
              <w:sz w:val="22"/>
            </w:rPr>
            <w:t xml:space="preserve"> 2017</w:t>
          </w:r>
        </w:p>
        <w:p w:rsidR="00BD5546" w:rsidRPr="007D6AF9" w:rsidRDefault="00BD5546" w:rsidP="00DF7919">
          <w:pPr>
            <w:pStyle w:val="En-tte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Version 1.0</w:t>
          </w:r>
        </w:p>
      </w:tc>
    </w:tr>
  </w:tbl>
  <w:p w:rsidR="00BD5546" w:rsidRDefault="00BD5546" w:rsidP="00E641D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F4F"/>
    <w:multiLevelType w:val="hybridMultilevel"/>
    <w:tmpl w:val="D64CDCB2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3943"/>
    <w:multiLevelType w:val="hybridMultilevel"/>
    <w:tmpl w:val="F41EAD9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91D9A"/>
    <w:multiLevelType w:val="hybridMultilevel"/>
    <w:tmpl w:val="74B23282"/>
    <w:lvl w:ilvl="0" w:tplc="DE3E85E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A454E"/>
    <w:multiLevelType w:val="multilevel"/>
    <w:tmpl w:val="246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10DEC"/>
    <w:multiLevelType w:val="hybridMultilevel"/>
    <w:tmpl w:val="920C7FB4"/>
    <w:lvl w:ilvl="0" w:tplc="420E834E">
      <w:start w:val="1"/>
      <w:numFmt w:val="bullet"/>
      <w:lvlText w:val=""/>
      <w:lvlJc w:val="left"/>
      <w:pPr>
        <w:tabs>
          <w:tab w:val="num" w:pos="709"/>
        </w:tabs>
        <w:ind w:left="993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4940D59"/>
    <w:multiLevelType w:val="multilevel"/>
    <w:tmpl w:val="83E0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25A6B"/>
    <w:multiLevelType w:val="hybridMultilevel"/>
    <w:tmpl w:val="B444075C"/>
    <w:lvl w:ilvl="0" w:tplc="BFAA7EC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393C"/>
    <w:multiLevelType w:val="hybridMultilevel"/>
    <w:tmpl w:val="C0D2BACC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25DD0"/>
    <w:multiLevelType w:val="hybridMultilevel"/>
    <w:tmpl w:val="538451C6"/>
    <w:lvl w:ilvl="0" w:tplc="C374C61A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DF667A7"/>
    <w:multiLevelType w:val="hybridMultilevel"/>
    <w:tmpl w:val="D66A26D4"/>
    <w:lvl w:ilvl="0" w:tplc="4058EB6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C606B"/>
    <w:multiLevelType w:val="hybridMultilevel"/>
    <w:tmpl w:val="56C681C4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505B4E"/>
    <w:multiLevelType w:val="hybridMultilevel"/>
    <w:tmpl w:val="B708638E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E78A7"/>
    <w:multiLevelType w:val="multilevel"/>
    <w:tmpl w:val="027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45A8C"/>
    <w:multiLevelType w:val="hybridMultilevel"/>
    <w:tmpl w:val="2A5ED336"/>
    <w:lvl w:ilvl="0" w:tplc="75DE63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93786C"/>
    <w:multiLevelType w:val="hybridMultilevel"/>
    <w:tmpl w:val="0CAEC08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FC4B9D"/>
    <w:multiLevelType w:val="multilevel"/>
    <w:tmpl w:val="FCA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526AF"/>
    <w:multiLevelType w:val="hybridMultilevel"/>
    <w:tmpl w:val="86C80908"/>
    <w:lvl w:ilvl="0" w:tplc="889C530C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4EE56CC5"/>
    <w:multiLevelType w:val="hybridMultilevel"/>
    <w:tmpl w:val="949E0170"/>
    <w:lvl w:ilvl="0" w:tplc="CEF64C3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E0CD5"/>
    <w:multiLevelType w:val="hybridMultilevel"/>
    <w:tmpl w:val="56043EA0"/>
    <w:lvl w:ilvl="0" w:tplc="2028197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>
    <w:nsid w:val="57B2106A"/>
    <w:multiLevelType w:val="hybridMultilevel"/>
    <w:tmpl w:val="0C322230"/>
    <w:lvl w:ilvl="0" w:tplc="020E22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F2BC9"/>
    <w:multiLevelType w:val="multilevel"/>
    <w:tmpl w:val="1780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AB3E89"/>
    <w:multiLevelType w:val="hybridMultilevel"/>
    <w:tmpl w:val="B3C03BB2"/>
    <w:lvl w:ilvl="0" w:tplc="8544EC10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B63ED"/>
    <w:multiLevelType w:val="hybridMultilevel"/>
    <w:tmpl w:val="B7049EE6"/>
    <w:lvl w:ilvl="0" w:tplc="4894D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245A0"/>
    <w:multiLevelType w:val="hybridMultilevel"/>
    <w:tmpl w:val="B02AD01A"/>
    <w:lvl w:ilvl="0" w:tplc="6C6015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724A5"/>
    <w:multiLevelType w:val="hybridMultilevel"/>
    <w:tmpl w:val="ED44E5A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24"/>
  </w:num>
  <w:num w:numId="6">
    <w:abstractNumId w:val="18"/>
  </w:num>
  <w:num w:numId="7">
    <w:abstractNumId w:val="1"/>
  </w:num>
  <w:num w:numId="8">
    <w:abstractNumId w:val="16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3"/>
  </w:num>
  <w:num w:numId="15">
    <w:abstractNumId w:val="21"/>
  </w:num>
  <w:num w:numId="16">
    <w:abstractNumId w:val="23"/>
  </w:num>
  <w:num w:numId="17">
    <w:abstractNumId w:val="19"/>
  </w:num>
  <w:num w:numId="18">
    <w:abstractNumId w:val="20"/>
  </w:num>
  <w:num w:numId="19">
    <w:abstractNumId w:val="3"/>
  </w:num>
  <w:num w:numId="20">
    <w:abstractNumId w:val="15"/>
  </w:num>
  <w:num w:numId="21">
    <w:abstractNumId w:val="5"/>
  </w:num>
  <w:num w:numId="22">
    <w:abstractNumId w:val="12"/>
  </w:num>
  <w:num w:numId="23">
    <w:abstractNumId w:val="22"/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7605E8"/>
    <w:rsid w:val="00002E17"/>
    <w:rsid w:val="00007CDA"/>
    <w:rsid w:val="00016C19"/>
    <w:rsid w:val="00025945"/>
    <w:rsid w:val="000301B5"/>
    <w:rsid w:val="0007150D"/>
    <w:rsid w:val="00082E96"/>
    <w:rsid w:val="000D679C"/>
    <w:rsid w:val="000E518C"/>
    <w:rsid w:val="001C50BB"/>
    <w:rsid w:val="00251394"/>
    <w:rsid w:val="00257DB6"/>
    <w:rsid w:val="0027530D"/>
    <w:rsid w:val="00293132"/>
    <w:rsid w:val="002A21B3"/>
    <w:rsid w:val="002D0A24"/>
    <w:rsid w:val="002E259E"/>
    <w:rsid w:val="0030001E"/>
    <w:rsid w:val="00311316"/>
    <w:rsid w:val="0031157F"/>
    <w:rsid w:val="003140FF"/>
    <w:rsid w:val="00396D18"/>
    <w:rsid w:val="004041E0"/>
    <w:rsid w:val="004655D0"/>
    <w:rsid w:val="004722A3"/>
    <w:rsid w:val="004B0F12"/>
    <w:rsid w:val="004B101B"/>
    <w:rsid w:val="004C1715"/>
    <w:rsid w:val="004F6300"/>
    <w:rsid w:val="00503DD9"/>
    <w:rsid w:val="005502FD"/>
    <w:rsid w:val="0056440A"/>
    <w:rsid w:val="00564714"/>
    <w:rsid w:val="005815FA"/>
    <w:rsid w:val="005870A9"/>
    <w:rsid w:val="00593AF3"/>
    <w:rsid w:val="005A0875"/>
    <w:rsid w:val="005A72EB"/>
    <w:rsid w:val="005D59E9"/>
    <w:rsid w:val="005F1EA4"/>
    <w:rsid w:val="00685CF9"/>
    <w:rsid w:val="0069644A"/>
    <w:rsid w:val="006A3EA3"/>
    <w:rsid w:val="006B1504"/>
    <w:rsid w:val="006F1D11"/>
    <w:rsid w:val="00743B08"/>
    <w:rsid w:val="007605E8"/>
    <w:rsid w:val="00763162"/>
    <w:rsid w:val="00775852"/>
    <w:rsid w:val="00797ADD"/>
    <w:rsid w:val="007D5198"/>
    <w:rsid w:val="007F579C"/>
    <w:rsid w:val="00804F45"/>
    <w:rsid w:val="00827C65"/>
    <w:rsid w:val="00835B31"/>
    <w:rsid w:val="008A4E8A"/>
    <w:rsid w:val="008F5586"/>
    <w:rsid w:val="0096311E"/>
    <w:rsid w:val="0097443A"/>
    <w:rsid w:val="0097752E"/>
    <w:rsid w:val="009803B3"/>
    <w:rsid w:val="0098210E"/>
    <w:rsid w:val="009A5D50"/>
    <w:rsid w:val="009E21EB"/>
    <w:rsid w:val="00A90C68"/>
    <w:rsid w:val="00AC6194"/>
    <w:rsid w:val="00AD149E"/>
    <w:rsid w:val="00AE0E13"/>
    <w:rsid w:val="00B534D3"/>
    <w:rsid w:val="00B65299"/>
    <w:rsid w:val="00B77C1C"/>
    <w:rsid w:val="00B936A9"/>
    <w:rsid w:val="00BA0247"/>
    <w:rsid w:val="00BC2DF8"/>
    <w:rsid w:val="00BD5546"/>
    <w:rsid w:val="00BE0601"/>
    <w:rsid w:val="00C12EBE"/>
    <w:rsid w:val="00C24DD5"/>
    <w:rsid w:val="00C36F71"/>
    <w:rsid w:val="00C37A99"/>
    <w:rsid w:val="00C50083"/>
    <w:rsid w:val="00C641E1"/>
    <w:rsid w:val="00C73902"/>
    <w:rsid w:val="00C74CF0"/>
    <w:rsid w:val="00CA0EFC"/>
    <w:rsid w:val="00CB1B79"/>
    <w:rsid w:val="00CE6475"/>
    <w:rsid w:val="00D07A9B"/>
    <w:rsid w:val="00D42033"/>
    <w:rsid w:val="00D511B1"/>
    <w:rsid w:val="00D56AC6"/>
    <w:rsid w:val="00D65E0A"/>
    <w:rsid w:val="00D70E65"/>
    <w:rsid w:val="00D73A17"/>
    <w:rsid w:val="00DB5413"/>
    <w:rsid w:val="00DF7919"/>
    <w:rsid w:val="00E21149"/>
    <w:rsid w:val="00E641D4"/>
    <w:rsid w:val="00E908B9"/>
    <w:rsid w:val="00ED3830"/>
    <w:rsid w:val="00F31ABC"/>
    <w:rsid w:val="00F51328"/>
    <w:rsid w:val="00F51699"/>
    <w:rsid w:val="00F9388C"/>
    <w:rsid w:val="00F93E6F"/>
    <w:rsid w:val="00FA21E2"/>
    <w:rsid w:val="00FA47A1"/>
    <w:rsid w:val="00FA4DDC"/>
    <w:rsid w:val="00FC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3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513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139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51394"/>
  </w:style>
  <w:style w:type="character" w:customStyle="1" w:styleId="En-tteCar">
    <w:name w:val="En-tête Car"/>
    <w:basedOn w:val="Policepardfaut"/>
    <w:link w:val="En-tte"/>
    <w:rsid w:val="00DB5413"/>
    <w:rPr>
      <w:sz w:val="24"/>
      <w:szCs w:val="24"/>
      <w:lang w:val="fr-FR" w:eastAsia="fr-FR" w:bidi="ar-SA"/>
    </w:rPr>
  </w:style>
  <w:style w:type="paragraph" w:customStyle="1" w:styleId="normal2">
    <w:name w:val="normal2"/>
    <w:basedOn w:val="Normal"/>
    <w:rsid w:val="00251394"/>
    <w:pPr>
      <w:jc w:val="both"/>
    </w:pPr>
    <w:rPr>
      <w:rFonts w:ascii="Comic Sans MS" w:hAnsi="Comic Sans MS"/>
      <w:sz w:val="22"/>
    </w:rPr>
  </w:style>
  <w:style w:type="character" w:customStyle="1" w:styleId="normal2Car">
    <w:name w:val="normal2 Car"/>
    <w:basedOn w:val="Policepardfaut"/>
    <w:rsid w:val="00251394"/>
    <w:rPr>
      <w:rFonts w:ascii="Comic Sans MS" w:hAnsi="Comic Sans MS"/>
      <w:sz w:val="22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DF791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DF79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791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1157F"/>
    <w:rPr>
      <w:b/>
      <w:bCs/>
    </w:rPr>
  </w:style>
  <w:style w:type="character" w:customStyle="1" w:styleId="note">
    <w:name w:val="note"/>
    <w:basedOn w:val="Policepardfaut"/>
    <w:rsid w:val="00311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394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FASCICULE</vt:lpstr>
    </vt:vector>
  </TitlesOfParts>
  <Company>LAL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FASCICULE</dc:title>
  <dc:creator>biron</dc:creator>
  <cp:lastModifiedBy>LEGRAND</cp:lastModifiedBy>
  <cp:revision>18</cp:revision>
  <cp:lastPrinted>2017-04-03T14:10:00Z</cp:lastPrinted>
  <dcterms:created xsi:type="dcterms:W3CDTF">2017-01-30T10:09:00Z</dcterms:created>
  <dcterms:modified xsi:type="dcterms:W3CDTF">2017-10-31T13:58:00Z</dcterms:modified>
</cp:coreProperties>
</file>