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FA" w:rsidRPr="00B071E3" w:rsidRDefault="005815FA">
      <w:pPr>
        <w:rPr>
          <w:color w:val="0000FF"/>
          <w:u w:val="single"/>
        </w:rPr>
      </w:pPr>
      <w:r w:rsidRPr="00B071E3">
        <w:rPr>
          <w:color w:val="0000FF"/>
          <w:u w:val="single"/>
        </w:rPr>
        <w:t>1) Domaine d’application</w:t>
      </w:r>
    </w:p>
    <w:p w:rsidR="005815FA" w:rsidRPr="00B071E3" w:rsidRDefault="005815FA">
      <w:pPr>
        <w:jc w:val="both"/>
      </w:pPr>
      <w:r w:rsidRPr="00B071E3">
        <w:t xml:space="preserve">Ces consignes sont rédigées à l’attention des utilisateurs </w:t>
      </w:r>
      <w:r w:rsidR="007D5198" w:rsidRPr="00B071E3">
        <w:t xml:space="preserve">du </w:t>
      </w:r>
      <w:r w:rsidR="00824694" w:rsidRPr="00B071E3">
        <w:t>bâti de dépôt ALD</w:t>
      </w:r>
      <w:r w:rsidRPr="00B071E3">
        <w:t>.</w:t>
      </w:r>
    </w:p>
    <w:p w:rsidR="005815FA" w:rsidRPr="00E15917" w:rsidRDefault="005815FA">
      <w:pPr>
        <w:jc w:val="both"/>
        <w:rPr>
          <w:b/>
          <w:bCs/>
          <w:sz w:val="16"/>
          <w:szCs w:val="16"/>
        </w:rPr>
      </w:pPr>
    </w:p>
    <w:p w:rsidR="005815FA" w:rsidRPr="00B071E3" w:rsidRDefault="005815FA">
      <w:pPr>
        <w:rPr>
          <w:color w:val="0000FF"/>
          <w:u w:val="single"/>
        </w:rPr>
      </w:pPr>
      <w:r w:rsidRPr="00B071E3">
        <w:rPr>
          <w:color w:val="0000FF"/>
          <w:u w:val="single"/>
        </w:rPr>
        <w:t>2) Consignes</w:t>
      </w:r>
      <w:r w:rsidR="004B5F18" w:rsidRPr="00B071E3">
        <w:rPr>
          <w:color w:val="0000FF"/>
          <w:u w:val="single"/>
        </w:rPr>
        <w:t xml:space="preserve"> de sécurité</w:t>
      </w:r>
    </w:p>
    <w:p w:rsidR="005815FA" w:rsidRPr="00E15917" w:rsidRDefault="005815FA">
      <w:pPr>
        <w:rPr>
          <w:color w:val="0000FF"/>
          <w:sz w:val="16"/>
          <w:szCs w:val="16"/>
          <w:u w:val="single"/>
        </w:rPr>
      </w:pPr>
    </w:p>
    <w:p w:rsidR="004B5F18" w:rsidRPr="00B071E3" w:rsidRDefault="004B5F18" w:rsidP="00B071E3">
      <w:pPr>
        <w:ind w:firstLine="709"/>
        <w:rPr>
          <w:i/>
          <w:color w:val="0000FF"/>
          <w:u w:val="single"/>
        </w:rPr>
      </w:pPr>
      <w:r w:rsidRPr="00B071E3">
        <w:rPr>
          <w:i/>
          <w:color w:val="0000FF"/>
          <w:u w:val="single"/>
        </w:rPr>
        <w:t xml:space="preserve">Utilisation d’agents chimiques dangereux : </w:t>
      </w:r>
    </w:p>
    <w:p w:rsidR="005815FA" w:rsidRPr="00B071E3" w:rsidRDefault="00824694" w:rsidP="004B5F18">
      <w:pPr>
        <w:pStyle w:val="Paragraphedeliste"/>
        <w:numPr>
          <w:ilvl w:val="0"/>
          <w:numId w:val="17"/>
        </w:numPr>
        <w:jc w:val="both"/>
      </w:pPr>
      <w:r w:rsidRPr="00B071E3">
        <w:t xml:space="preserve">Demander les FDS des </w:t>
      </w:r>
      <w:r w:rsidR="004B5F18" w:rsidRPr="00B071E3">
        <w:t>agents</w:t>
      </w:r>
      <w:r w:rsidRPr="00B071E3">
        <w:t xml:space="preserve"> chimiques avant utilisation dans le bâti</w:t>
      </w:r>
    </w:p>
    <w:p w:rsidR="00824694" w:rsidRPr="00B071E3" w:rsidRDefault="00824694" w:rsidP="00824694">
      <w:pPr>
        <w:pStyle w:val="Paragraphedeliste"/>
        <w:numPr>
          <w:ilvl w:val="0"/>
          <w:numId w:val="17"/>
        </w:numPr>
        <w:jc w:val="both"/>
      </w:pPr>
      <w:r w:rsidRPr="00B071E3">
        <w:t>Tracer dans le cahier de manip la liste des produits ch</w:t>
      </w:r>
      <w:r w:rsidR="007628F8">
        <w:t>imiques utilisés (pour déterminer</w:t>
      </w:r>
      <w:r w:rsidRPr="00B071E3">
        <w:t xml:space="preserve"> les protections adéquates lors des opérations de maintenance)</w:t>
      </w:r>
    </w:p>
    <w:p w:rsidR="00824694" w:rsidRPr="00B071E3" w:rsidRDefault="004B5F18" w:rsidP="00824694">
      <w:pPr>
        <w:pStyle w:val="Paragraphedeliste"/>
        <w:numPr>
          <w:ilvl w:val="0"/>
          <w:numId w:val="17"/>
        </w:numPr>
        <w:jc w:val="both"/>
      </w:pPr>
      <w:r w:rsidRPr="00B071E3">
        <w:t xml:space="preserve">Respecter la méthodologie du manuel </w:t>
      </w:r>
      <w:r w:rsidR="00165042">
        <w:t>« </w:t>
      </w:r>
      <w:proofErr w:type="spellStart"/>
      <w:r w:rsidR="00165042">
        <w:t>Picosun</w:t>
      </w:r>
      <w:proofErr w:type="spellEnd"/>
      <w:r w:rsidR="00165042">
        <w:t xml:space="preserve"> ALD </w:t>
      </w:r>
      <w:proofErr w:type="spellStart"/>
      <w:r w:rsidR="00165042">
        <w:t>Tool</w:t>
      </w:r>
      <w:proofErr w:type="spellEnd"/>
      <w:r w:rsidR="00165042">
        <w:t xml:space="preserve"> Manuel »</w:t>
      </w:r>
      <w:r w:rsidRPr="00B071E3">
        <w:t xml:space="preserve"> pour l’insertion des containers dans le bâti</w:t>
      </w:r>
    </w:p>
    <w:p w:rsidR="007C1D91" w:rsidRPr="00E15917" w:rsidRDefault="007C1D91" w:rsidP="00824694">
      <w:pPr>
        <w:jc w:val="both"/>
        <w:rPr>
          <w:u w:val="single"/>
        </w:rPr>
      </w:pPr>
      <w:r w:rsidRPr="00E15917">
        <w:rPr>
          <w:u w:val="single"/>
        </w:rPr>
        <w:t>Lors de l’utilisation de TMA</w:t>
      </w:r>
      <w:r w:rsidR="004B5F18" w:rsidRPr="00E15917">
        <w:rPr>
          <w:u w:val="single"/>
        </w:rPr>
        <w:t xml:space="preserve"> (</w:t>
      </w:r>
      <w:proofErr w:type="spellStart"/>
      <w:r w:rsidR="004B5F18" w:rsidRPr="00E15917">
        <w:rPr>
          <w:u w:val="single"/>
        </w:rPr>
        <w:t>Triméthylaluminium</w:t>
      </w:r>
      <w:proofErr w:type="spellEnd"/>
      <w:r w:rsidR="004B5F18" w:rsidRPr="00E15917">
        <w:rPr>
          <w:u w:val="single"/>
        </w:rPr>
        <w:t>)</w:t>
      </w:r>
      <w:r w:rsidRPr="00E15917">
        <w:rPr>
          <w:u w:val="single"/>
        </w:rPr>
        <w:t xml:space="preserve"> : </w:t>
      </w:r>
    </w:p>
    <w:p w:rsidR="007C1D91" w:rsidRPr="00B071E3" w:rsidRDefault="007C1D91" w:rsidP="007C1D91">
      <w:pPr>
        <w:pStyle w:val="Paragraphedeliste"/>
        <w:numPr>
          <w:ilvl w:val="0"/>
          <w:numId w:val="17"/>
        </w:numPr>
        <w:jc w:val="both"/>
      </w:pPr>
      <w:r w:rsidRPr="00B071E3">
        <w:t>Pren</w:t>
      </w:r>
      <w:r w:rsidR="004B5F18" w:rsidRPr="00B071E3">
        <w:t>dre l’extincteur à poudre situé</w:t>
      </w:r>
      <w:r w:rsidRPr="00B071E3">
        <w:t xml:space="preserve"> dans le sas et le mettre à disposition au pied du bâti</w:t>
      </w:r>
    </w:p>
    <w:p w:rsidR="004B5F18" w:rsidRPr="00B071E3" w:rsidRDefault="006C0FD1" w:rsidP="007C1D91">
      <w:pPr>
        <w:pStyle w:val="Paragraphedeliste"/>
        <w:numPr>
          <w:ilvl w:val="0"/>
          <w:numId w:val="17"/>
        </w:numPr>
        <w:jc w:val="both"/>
      </w:pPr>
      <w:proofErr w:type="spellStart"/>
      <w:r w:rsidRPr="00B071E3">
        <w:t>Inerter</w:t>
      </w:r>
      <w:proofErr w:type="spellEnd"/>
      <w:r w:rsidRPr="00B071E3">
        <w:t xml:space="preserve"> le bâti à l’azote durant toute la manipulation</w:t>
      </w:r>
    </w:p>
    <w:p w:rsidR="006C0FD1" w:rsidRPr="00B071E3" w:rsidRDefault="006C0FD1" w:rsidP="007C1D91">
      <w:pPr>
        <w:pStyle w:val="Paragraphedeliste"/>
        <w:numPr>
          <w:ilvl w:val="0"/>
          <w:numId w:val="17"/>
        </w:numPr>
        <w:jc w:val="both"/>
      </w:pPr>
      <w:r w:rsidRPr="00B071E3">
        <w:t>Surveiller régulièrement le flux d’azote</w:t>
      </w:r>
    </w:p>
    <w:p w:rsidR="006C0FD1" w:rsidRPr="00B071E3" w:rsidRDefault="006C0FD1" w:rsidP="007C1D91">
      <w:pPr>
        <w:pStyle w:val="Paragraphedeliste"/>
        <w:numPr>
          <w:ilvl w:val="0"/>
          <w:numId w:val="17"/>
        </w:numPr>
        <w:jc w:val="both"/>
      </w:pPr>
      <w:r w:rsidRPr="00B071E3">
        <w:t>Réaliser au moins un pulse de 20 secondes d’azote après la manipulation afin de piéger la totalité du TMA</w:t>
      </w:r>
    </w:p>
    <w:p w:rsidR="007C1D91" w:rsidRPr="00E15917" w:rsidRDefault="007C1D91" w:rsidP="00824694">
      <w:pPr>
        <w:jc w:val="both"/>
        <w:rPr>
          <w:sz w:val="16"/>
          <w:szCs w:val="16"/>
        </w:rPr>
      </w:pPr>
    </w:p>
    <w:p w:rsidR="00824694" w:rsidRPr="00B071E3" w:rsidRDefault="006C0FD1" w:rsidP="006C0FD1">
      <w:pPr>
        <w:ind w:firstLine="709"/>
        <w:rPr>
          <w:i/>
          <w:color w:val="0000FF"/>
          <w:u w:val="single"/>
        </w:rPr>
      </w:pPr>
      <w:r w:rsidRPr="00B071E3">
        <w:rPr>
          <w:i/>
          <w:color w:val="0000FF"/>
          <w:u w:val="single"/>
        </w:rPr>
        <w:t>Opérations de maintenance</w:t>
      </w:r>
    </w:p>
    <w:p w:rsidR="00824694" w:rsidRPr="00E15917" w:rsidRDefault="00824694" w:rsidP="00824694">
      <w:pPr>
        <w:jc w:val="center"/>
        <w:rPr>
          <w:b/>
        </w:rPr>
      </w:pPr>
      <w:r w:rsidRPr="00E15917">
        <w:rPr>
          <w:b/>
        </w:rPr>
        <w:t xml:space="preserve">Des produits chimiques, résidus ou produits de réaction </w:t>
      </w:r>
      <w:r w:rsidR="006C0FD1" w:rsidRPr="00E15917">
        <w:rPr>
          <w:b/>
        </w:rPr>
        <w:t>peuvent</w:t>
      </w:r>
      <w:r w:rsidRPr="00E15917">
        <w:rPr>
          <w:b/>
        </w:rPr>
        <w:t xml:space="preserve"> s’accumuler dans les différentes parties du bâti (enceinte, ligne de vide, piège à poudre…)</w:t>
      </w:r>
    </w:p>
    <w:p w:rsidR="00824694" w:rsidRPr="00E15917" w:rsidRDefault="00824694">
      <w:pPr>
        <w:jc w:val="both"/>
        <w:rPr>
          <w:u w:val="single"/>
        </w:rPr>
      </w:pPr>
      <w:r w:rsidRPr="00E15917">
        <w:rPr>
          <w:u w:val="single"/>
        </w:rPr>
        <w:t xml:space="preserve">Avant de commencer la maintenance : </w:t>
      </w:r>
    </w:p>
    <w:p w:rsidR="00824694" w:rsidRPr="00B071E3" w:rsidRDefault="00824694" w:rsidP="00824694">
      <w:pPr>
        <w:pStyle w:val="Paragraphedeliste"/>
        <w:numPr>
          <w:ilvl w:val="0"/>
          <w:numId w:val="17"/>
        </w:numPr>
        <w:jc w:val="both"/>
      </w:pPr>
      <w:r w:rsidRPr="00B071E3">
        <w:t>Fermer les vannes de connexions des containers et alimentation en gaz</w:t>
      </w:r>
    </w:p>
    <w:p w:rsidR="00824694" w:rsidRPr="00B071E3" w:rsidRDefault="00824694" w:rsidP="00824694">
      <w:pPr>
        <w:pStyle w:val="Paragraphedeliste"/>
        <w:numPr>
          <w:ilvl w:val="0"/>
          <w:numId w:val="17"/>
        </w:numPr>
        <w:jc w:val="both"/>
      </w:pPr>
      <w:r w:rsidRPr="00B071E3">
        <w:t>Purger les lignes à l’azote</w:t>
      </w:r>
    </w:p>
    <w:p w:rsidR="00824694" w:rsidRPr="00B071E3" w:rsidRDefault="00824694" w:rsidP="00824694">
      <w:pPr>
        <w:pStyle w:val="Paragraphedeliste"/>
        <w:numPr>
          <w:ilvl w:val="0"/>
          <w:numId w:val="17"/>
        </w:numPr>
        <w:jc w:val="both"/>
      </w:pPr>
      <w:r w:rsidRPr="00B071E3">
        <w:t xml:space="preserve">S’assurer que la température de la chambre de réaction est </w:t>
      </w:r>
      <w:r w:rsidR="006C0FD1" w:rsidRPr="00B071E3">
        <w:t>inférieure</w:t>
      </w:r>
      <w:r w:rsidRPr="00B071E3">
        <w:t xml:space="preserve"> à 30°C</w:t>
      </w:r>
    </w:p>
    <w:p w:rsidR="00824694" w:rsidRPr="00B071E3" w:rsidRDefault="00824694" w:rsidP="00824694">
      <w:pPr>
        <w:pStyle w:val="Paragraphedeliste"/>
        <w:numPr>
          <w:ilvl w:val="0"/>
          <w:numId w:val="17"/>
        </w:numPr>
        <w:jc w:val="both"/>
      </w:pPr>
      <w:r w:rsidRPr="00B071E3">
        <w:t>Mettre la chambre à pression atmosphérique</w:t>
      </w:r>
    </w:p>
    <w:p w:rsidR="00824694" w:rsidRPr="00B071E3" w:rsidRDefault="00824694" w:rsidP="00824694">
      <w:pPr>
        <w:pStyle w:val="Paragraphedeliste"/>
        <w:numPr>
          <w:ilvl w:val="0"/>
          <w:numId w:val="17"/>
        </w:numPr>
        <w:jc w:val="both"/>
      </w:pPr>
      <w:r w:rsidRPr="00B071E3">
        <w:t xml:space="preserve">Couper l’alimentation électrique </w:t>
      </w:r>
    </w:p>
    <w:p w:rsidR="00824694" w:rsidRPr="00B071E3" w:rsidRDefault="00824694" w:rsidP="00824694">
      <w:pPr>
        <w:pStyle w:val="Paragraphedeliste"/>
        <w:numPr>
          <w:ilvl w:val="0"/>
          <w:numId w:val="17"/>
        </w:numPr>
        <w:jc w:val="both"/>
      </w:pPr>
      <w:r w:rsidRPr="00B071E3">
        <w:t>Utiliser des gants et masques chimiques lors du nettoyage des différentes pièces : la nature des protections dépend des produits utilisés (</w:t>
      </w:r>
      <w:r w:rsidR="007628F8">
        <w:t xml:space="preserve">à minima </w:t>
      </w:r>
      <w:r w:rsidRPr="00B071E3">
        <w:t>masque FFP3</w:t>
      </w:r>
      <w:r w:rsidR="007628F8">
        <w:t xml:space="preserve"> et</w:t>
      </w:r>
      <w:r w:rsidRPr="00B071E3">
        <w:t xml:space="preserve"> gants à la fois chimique et anti-coupure)</w:t>
      </w:r>
    </w:p>
    <w:p w:rsidR="00824694" w:rsidRPr="00B071E3" w:rsidRDefault="00824694" w:rsidP="00824694">
      <w:pPr>
        <w:pStyle w:val="Paragraphedeliste"/>
        <w:numPr>
          <w:ilvl w:val="0"/>
          <w:numId w:val="17"/>
        </w:numPr>
        <w:jc w:val="both"/>
      </w:pPr>
      <w:r w:rsidRPr="00B071E3">
        <w:t>Faire attention à la présence de bords coupant sur le piège à poudre</w:t>
      </w:r>
    </w:p>
    <w:p w:rsidR="00824694" w:rsidRPr="00B071E3" w:rsidRDefault="00824694" w:rsidP="00824694">
      <w:pPr>
        <w:pStyle w:val="Paragraphedeliste"/>
        <w:numPr>
          <w:ilvl w:val="0"/>
          <w:numId w:val="17"/>
        </w:numPr>
        <w:jc w:val="both"/>
      </w:pPr>
      <w:r w:rsidRPr="00B071E3">
        <w:t xml:space="preserve">Demander à la cellule QSE la FDS des produits utilisés dans le four. </w:t>
      </w:r>
    </w:p>
    <w:p w:rsidR="00824694" w:rsidRPr="00E15917" w:rsidRDefault="00824694">
      <w:pPr>
        <w:jc w:val="both"/>
        <w:rPr>
          <w:sz w:val="16"/>
          <w:szCs w:val="16"/>
        </w:rPr>
      </w:pPr>
    </w:p>
    <w:p w:rsidR="00DF7919" w:rsidRPr="00B071E3" w:rsidRDefault="005815FA">
      <w:pPr>
        <w:rPr>
          <w:color w:val="0000FF"/>
          <w:u w:val="single"/>
        </w:rPr>
      </w:pPr>
      <w:r w:rsidRPr="00B071E3">
        <w:rPr>
          <w:color w:val="0000FF"/>
          <w:u w:val="single"/>
        </w:rPr>
        <w:t>3) Personnes à prévenir en cas d’urgence</w:t>
      </w:r>
    </w:p>
    <w:p w:rsidR="005815FA" w:rsidRPr="00E15917" w:rsidRDefault="005815FA">
      <w:pPr>
        <w:jc w:val="both"/>
        <w:rPr>
          <w:sz w:val="16"/>
          <w:szCs w:val="16"/>
        </w:rPr>
      </w:pPr>
    </w:p>
    <w:p w:rsidR="007C1D91" w:rsidRPr="00B071E3" w:rsidRDefault="007C1D91" w:rsidP="00B071E3">
      <w:pPr>
        <w:tabs>
          <w:tab w:val="left" w:pos="2136"/>
          <w:tab w:val="left" w:pos="2492"/>
        </w:tabs>
        <w:rPr>
          <w:u w:val="single"/>
        </w:rPr>
      </w:pPr>
      <w:r w:rsidRPr="00B071E3">
        <w:rPr>
          <w:color w:val="0000FF"/>
          <w:u w:val="single"/>
        </w:rPr>
        <w:t>En cas d’incendie :</w:t>
      </w:r>
      <w:r w:rsidRPr="00B071E3">
        <w:tab/>
        <w:t>-</w:t>
      </w:r>
      <w:r w:rsidRPr="00B071E3">
        <w:tab/>
      </w:r>
      <w:r w:rsidR="006C0FD1" w:rsidRPr="00B071E3">
        <w:t xml:space="preserve">Si possible (sans se mettre en danger) </w:t>
      </w:r>
      <w:r w:rsidR="00D07CF5" w:rsidRPr="00B071E3">
        <w:t>a</w:t>
      </w:r>
      <w:r w:rsidR="006C0FD1" w:rsidRPr="00B071E3">
        <w:t xml:space="preserve">ctionner l’Arrêt d’Urgence </w:t>
      </w:r>
      <w:r w:rsidR="00D07CF5" w:rsidRPr="00B071E3">
        <w:t>du bâti</w:t>
      </w:r>
    </w:p>
    <w:p w:rsidR="007C1D91" w:rsidRPr="00B071E3" w:rsidRDefault="007C1D91" w:rsidP="00B071E3">
      <w:pPr>
        <w:pStyle w:val="Paragraphedeliste"/>
        <w:numPr>
          <w:ilvl w:val="0"/>
          <w:numId w:val="18"/>
        </w:numPr>
        <w:tabs>
          <w:tab w:val="left" w:pos="7938"/>
        </w:tabs>
      </w:pPr>
      <w:r w:rsidRPr="00B071E3">
        <w:t>Déclencher l’alarme incendie via les boitiers bris de glace</w:t>
      </w:r>
    </w:p>
    <w:p w:rsidR="006C0FD1" w:rsidRPr="00B071E3" w:rsidRDefault="006C0FD1" w:rsidP="00B071E3">
      <w:pPr>
        <w:pStyle w:val="Paragraphedeliste"/>
        <w:numPr>
          <w:ilvl w:val="0"/>
          <w:numId w:val="18"/>
        </w:numPr>
        <w:tabs>
          <w:tab w:val="left" w:pos="7938"/>
        </w:tabs>
      </w:pPr>
      <w:r w:rsidRPr="00B071E3">
        <w:t>Utiliser l’extincteur CO2 situé dans la pièce</w:t>
      </w:r>
    </w:p>
    <w:p w:rsidR="007C1D91" w:rsidRPr="00B071E3" w:rsidRDefault="007C1D91" w:rsidP="00B071E3">
      <w:pPr>
        <w:pStyle w:val="Paragraphedeliste"/>
        <w:numPr>
          <w:ilvl w:val="0"/>
          <w:numId w:val="18"/>
        </w:numPr>
        <w:tabs>
          <w:tab w:val="left" w:pos="7938"/>
        </w:tabs>
      </w:pPr>
      <w:r w:rsidRPr="00B071E3">
        <w:t>Alerter les pompiers (18)</w:t>
      </w:r>
    </w:p>
    <w:p w:rsidR="006C0FD1" w:rsidRPr="00B071E3" w:rsidRDefault="007C1D91" w:rsidP="00B071E3">
      <w:pPr>
        <w:pStyle w:val="Paragraphedeliste"/>
        <w:numPr>
          <w:ilvl w:val="0"/>
          <w:numId w:val="18"/>
        </w:numPr>
        <w:tabs>
          <w:tab w:val="left" w:pos="7938"/>
        </w:tabs>
      </w:pPr>
      <w:r w:rsidRPr="00B071E3">
        <w:t>Evacuer et rejoindre le point de rassemblement</w:t>
      </w:r>
      <w:r w:rsidR="006C0FD1" w:rsidRPr="00B071E3">
        <w:t xml:space="preserve"> </w:t>
      </w:r>
    </w:p>
    <w:p w:rsidR="006C0FD1" w:rsidRPr="00B071E3" w:rsidRDefault="006C0FD1" w:rsidP="00B071E3">
      <w:pPr>
        <w:tabs>
          <w:tab w:val="left" w:pos="7938"/>
        </w:tabs>
      </w:pPr>
      <w:r w:rsidRPr="00B071E3">
        <w:rPr>
          <w:u w:val="single"/>
        </w:rPr>
        <w:t>Cas particulier du TMA :</w:t>
      </w:r>
      <w:r w:rsidRPr="00B071E3">
        <w:t xml:space="preserve"> </w:t>
      </w:r>
    </w:p>
    <w:p w:rsidR="006C0FD1" w:rsidRPr="00B071E3" w:rsidRDefault="006C0FD1" w:rsidP="00B071E3">
      <w:pPr>
        <w:pStyle w:val="Paragraphedeliste"/>
        <w:numPr>
          <w:ilvl w:val="0"/>
          <w:numId w:val="18"/>
        </w:numPr>
        <w:tabs>
          <w:tab w:val="left" w:pos="7938"/>
        </w:tabs>
      </w:pPr>
      <w:r w:rsidRPr="00B071E3">
        <w:t>Utiliser l’extincteur à poudre (feux de type C) situé au pied du bâti</w:t>
      </w:r>
    </w:p>
    <w:p w:rsidR="007C1D91" w:rsidRPr="00B071E3" w:rsidRDefault="006C0FD1" w:rsidP="00B071E3">
      <w:pPr>
        <w:tabs>
          <w:tab w:val="left" w:pos="7938"/>
        </w:tabs>
        <w:jc w:val="center"/>
        <w:rPr>
          <w:color w:val="FF0000"/>
        </w:rPr>
      </w:pPr>
      <w:r w:rsidRPr="00B071E3">
        <w:rPr>
          <w:color w:val="FF0000"/>
        </w:rPr>
        <w:t>Attention, en cas d’utilisation de l’Arrêt d’urgence, le bâti reste sous pression d’azote et le TMA n’est pas piégé.</w:t>
      </w:r>
    </w:p>
    <w:p w:rsidR="007C1D91" w:rsidRPr="00B071E3" w:rsidRDefault="007C1D91" w:rsidP="00B071E3">
      <w:pPr>
        <w:tabs>
          <w:tab w:val="left" w:pos="7938"/>
        </w:tabs>
        <w:rPr>
          <w:color w:val="0000FF"/>
          <w:u w:val="single"/>
        </w:rPr>
      </w:pPr>
      <w:r w:rsidRPr="00B071E3">
        <w:rPr>
          <w:color w:val="0000FF"/>
          <w:u w:val="single"/>
        </w:rPr>
        <w:t xml:space="preserve">En cas d’alarme </w:t>
      </w:r>
      <w:r w:rsidR="00D07CF5" w:rsidRPr="00B071E3">
        <w:rPr>
          <w:color w:val="0000FF"/>
          <w:u w:val="single"/>
        </w:rPr>
        <w:t>gaz (H2/N2/02)</w:t>
      </w:r>
      <w:r w:rsidRPr="00B071E3">
        <w:rPr>
          <w:color w:val="0000FF"/>
          <w:u w:val="single"/>
        </w:rPr>
        <w:t xml:space="preserve"> : </w:t>
      </w:r>
    </w:p>
    <w:p w:rsidR="007C1D91" w:rsidRPr="00B071E3" w:rsidRDefault="007C1D91" w:rsidP="00B071E3">
      <w:pPr>
        <w:pStyle w:val="Paragraphedeliste"/>
        <w:numPr>
          <w:ilvl w:val="0"/>
          <w:numId w:val="18"/>
        </w:numPr>
        <w:tabs>
          <w:tab w:val="left" w:pos="7938"/>
        </w:tabs>
      </w:pPr>
      <w:r w:rsidRPr="00B071E3">
        <w:t xml:space="preserve">Si possible (sans se mettre en danger) </w:t>
      </w:r>
      <w:r w:rsidR="00D07CF5" w:rsidRPr="00B071E3">
        <w:t>actionner l’Arrêt d’Urgence du bâti</w:t>
      </w:r>
    </w:p>
    <w:p w:rsidR="007C1D91" w:rsidRPr="00B071E3" w:rsidRDefault="007C1D91" w:rsidP="00B071E3">
      <w:pPr>
        <w:pStyle w:val="Paragraphedeliste"/>
        <w:numPr>
          <w:ilvl w:val="0"/>
          <w:numId w:val="18"/>
        </w:numPr>
        <w:tabs>
          <w:tab w:val="left" w:pos="7938"/>
        </w:tabs>
      </w:pPr>
      <w:r w:rsidRPr="00B071E3">
        <w:t>Evacuer la pièce et faire évacuer les pièces adjacentes</w:t>
      </w:r>
    </w:p>
    <w:p w:rsidR="007C1D91" w:rsidRPr="00B071E3" w:rsidRDefault="007C1D91" w:rsidP="00B071E3">
      <w:pPr>
        <w:pStyle w:val="Paragraphedeliste"/>
        <w:numPr>
          <w:ilvl w:val="0"/>
          <w:numId w:val="18"/>
        </w:numPr>
        <w:tabs>
          <w:tab w:val="left" w:pos="7938"/>
        </w:tabs>
      </w:pPr>
      <w:r w:rsidRPr="00B071E3">
        <w:t>Fermer l’arrivée de gaz depuis l’extérieur</w:t>
      </w:r>
      <w:r w:rsidR="00D07CF5" w:rsidRPr="00B071E3">
        <w:t xml:space="preserve"> de la salle</w:t>
      </w:r>
    </w:p>
    <w:p w:rsidR="00E15917" w:rsidRPr="00B071E3" w:rsidRDefault="007C1D91" w:rsidP="00165042">
      <w:pPr>
        <w:pStyle w:val="Paragraphedeliste"/>
        <w:numPr>
          <w:ilvl w:val="0"/>
          <w:numId w:val="18"/>
        </w:numPr>
        <w:tabs>
          <w:tab w:val="left" w:pos="7938"/>
        </w:tabs>
      </w:pPr>
      <w:r w:rsidRPr="00B071E3">
        <w:t>Alerter le service HSE</w:t>
      </w:r>
    </w:p>
    <w:sectPr w:rsidR="00E15917" w:rsidRPr="00B071E3" w:rsidSect="00EF2E03">
      <w:headerReference w:type="default" r:id="rId7"/>
      <w:footerReference w:type="default" r:id="rId8"/>
      <w:pgSz w:w="11906" w:h="16838" w:code="9"/>
      <w:pgMar w:top="851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75A" w:rsidRDefault="0077675A">
      <w:r>
        <w:separator/>
      </w:r>
    </w:p>
  </w:endnote>
  <w:endnote w:type="continuationSeparator" w:id="0">
    <w:p w:rsidR="0077675A" w:rsidRDefault="0077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5A" w:rsidRDefault="0077675A">
    <w:pPr>
      <w:pStyle w:val="Pieddepage"/>
      <w:rPr>
        <w:color w:val="000000"/>
        <w:sz w:val="16"/>
        <w:szCs w:val="16"/>
      </w:rPr>
    </w:pPr>
    <w:r>
      <w:tab/>
    </w:r>
    <w:r>
      <w:tab/>
    </w:r>
    <w:r>
      <w:tab/>
    </w:r>
    <w:r>
      <w:rPr>
        <w:color w:val="000000"/>
        <w:sz w:val="16"/>
        <w:szCs w:val="16"/>
      </w:rPr>
      <w:t xml:space="preserve">Page </w:t>
    </w:r>
    <w:r>
      <w:rPr>
        <w:rStyle w:val="Numrodepage"/>
        <w:color w:val="000000"/>
        <w:sz w:val="16"/>
        <w:szCs w:val="16"/>
      </w:rPr>
      <w:fldChar w:fldCharType="begin"/>
    </w:r>
    <w:r>
      <w:rPr>
        <w:rStyle w:val="Numrodepage"/>
        <w:color w:val="000000"/>
        <w:sz w:val="16"/>
        <w:szCs w:val="16"/>
      </w:rPr>
      <w:instrText xml:space="preserve"> PAGE </w:instrText>
    </w:r>
    <w:r>
      <w:rPr>
        <w:rStyle w:val="Numrodepage"/>
        <w:color w:val="000000"/>
        <w:sz w:val="16"/>
        <w:szCs w:val="16"/>
      </w:rPr>
      <w:fldChar w:fldCharType="separate"/>
    </w:r>
    <w:r w:rsidR="00165042">
      <w:rPr>
        <w:rStyle w:val="Numrodepage"/>
        <w:noProof/>
        <w:color w:val="000000"/>
        <w:sz w:val="16"/>
        <w:szCs w:val="16"/>
      </w:rPr>
      <w:t>1</w:t>
    </w:r>
    <w:r>
      <w:rPr>
        <w:rStyle w:val="Numrodepage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75A" w:rsidRDefault="0077675A">
      <w:r>
        <w:separator/>
      </w:r>
    </w:p>
  </w:footnote>
  <w:footnote w:type="continuationSeparator" w:id="0">
    <w:p w:rsidR="0077675A" w:rsidRDefault="00776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77675A" w:rsidRPr="00C264C4" w:rsidTr="00B071E3">
      <w:trPr>
        <w:trHeight w:val="556"/>
        <w:jc w:val="center"/>
      </w:trPr>
      <w:tc>
        <w:tcPr>
          <w:tcW w:w="2509" w:type="dxa"/>
          <w:vMerge w:val="restart"/>
        </w:tcPr>
        <w:p w:rsidR="0077675A" w:rsidRPr="00534EC6" w:rsidRDefault="0077675A" w:rsidP="009E21EB">
          <w:r w:rsidRPr="00DF7919"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  <w:vAlign w:val="center"/>
        </w:tcPr>
        <w:p w:rsidR="0077675A" w:rsidRDefault="0077675A" w:rsidP="00B071E3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Cellule QSE</w:t>
          </w:r>
        </w:p>
        <w:p w:rsidR="0077675A" w:rsidRPr="00534EC6" w:rsidRDefault="0077675A" w:rsidP="00B071E3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NIMPH</w:t>
          </w:r>
        </w:p>
      </w:tc>
      <w:tc>
        <w:tcPr>
          <w:tcW w:w="2479" w:type="dxa"/>
          <w:shd w:val="clear" w:color="auto" w:fill="F3F3F3"/>
          <w:vAlign w:val="center"/>
        </w:tcPr>
        <w:p w:rsidR="0077675A" w:rsidRPr="00534EC6" w:rsidRDefault="0077675A" w:rsidP="009E21EB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INSTRUCTION</w:t>
          </w:r>
        </w:p>
      </w:tc>
    </w:tr>
    <w:tr w:rsidR="0077675A" w:rsidRPr="00C264C4" w:rsidTr="00B071E3">
      <w:trPr>
        <w:trHeight w:val="500"/>
        <w:jc w:val="center"/>
      </w:trPr>
      <w:tc>
        <w:tcPr>
          <w:tcW w:w="2509" w:type="dxa"/>
          <w:vMerge/>
          <w:vAlign w:val="center"/>
        </w:tcPr>
        <w:p w:rsidR="0077675A" w:rsidRPr="006B583B" w:rsidRDefault="0077675A" w:rsidP="009E21EB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  <w:vAlign w:val="center"/>
        </w:tcPr>
        <w:p w:rsidR="0077675A" w:rsidRPr="00C264C4" w:rsidRDefault="0077675A" w:rsidP="00B071E3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77675A" w:rsidRPr="007D6AF9" w:rsidRDefault="0077675A" w:rsidP="00B071E3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Issue du processus QSE</w:t>
          </w:r>
        </w:p>
      </w:tc>
    </w:tr>
    <w:tr w:rsidR="0077675A" w:rsidRPr="00C264C4" w:rsidTr="00B071E3">
      <w:trPr>
        <w:jc w:val="center"/>
      </w:trPr>
      <w:tc>
        <w:tcPr>
          <w:tcW w:w="2509" w:type="dxa"/>
          <w:vAlign w:val="center"/>
        </w:tcPr>
        <w:p w:rsidR="0077675A" w:rsidRPr="00B071E3" w:rsidRDefault="0077675A" w:rsidP="00B071E3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021</w:t>
          </w:r>
        </w:p>
      </w:tc>
      <w:tc>
        <w:tcPr>
          <w:tcW w:w="5571" w:type="dxa"/>
          <w:vAlign w:val="center"/>
        </w:tcPr>
        <w:p w:rsidR="0077675A" w:rsidRPr="00D975C0" w:rsidRDefault="0077675A" w:rsidP="00B071E3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 xml:space="preserve">Consignes de sécurité </w:t>
          </w:r>
          <w:proofErr w:type="gramStart"/>
          <w:r>
            <w:rPr>
              <w:rFonts w:ascii="Arial" w:hAnsi="Arial"/>
              <w:b/>
              <w:bCs/>
              <w:sz w:val="28"/>
              <w:szCs w:val="28"/>
            </w:rPr>
            <w:t>bâti</w:t>
          </w:r>
          <w:proofErr w:type="gramEnd"/>
          <w:r>
            <w:rPr>
              <w:rFonts w:ascii="Arial" w:hAnsi="Arial"/>
              <w:b/>
              <w:bCs/>
              <w:sz w:val="28"/>
              <w:szCs w:val="28"/>
            </w:rPr>
            <w:t xml:space="preserve"> ALD</w:t>
          </w:r>
        </w:p>
      </w:tc>
      <w:tc>
        <w:tcPr>
          <w:tcW w:w="2479" w:type="dxa"/>
          <w:vAlign w:val="center"/>
        </w:tcPr>
        <w:p w:rsidR="0077675A" w:rsidRPr="007D6AF9" w:rsidRDefault="0077675A" w:rsidP="009E21EB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77675A" w:rsidRPr="007D6AF9" w:rsidRDefault="0077675A" w:rsidP="009E21EB">
          <w:pPr>
            <w:pStyle w:val="En-tte"/>
            <w:jc w:val="right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Juin 2016</w:t>
          </w:r>
        </w:p>
        <w:p w:rsidR="0077675A" w:rsidRPr="007D6AF9" w:rsidRDefault="0077675A" w:rsidP="00B071E3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 xml:space="preserve">Version 1.0          </w:t>
          </w:r>
        </w:p>
      </w:tc>
    </w:tr>
  </w:tbl>
  <w:p w:rsidR="0077675A" w:rsidRPr="00E15917" w:rsidRDefault="0077675A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ED0"/>
    <w:multiLevelType w:val="hybridMultilevel"/>
    <w:tmpl w:val="7ADE3852"/>
    <w:lvl w:ilvl="0" w:tplc="76E22E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6F4F"/>
    <w:multiLevelType w:val="hybridMultilevel"/>
    <w:tmpl w:val="D64CDC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45A8C"/>
    <w:multiLevelType w:val="hybridMultilevel"/>
    <w:tmpl w:val="2A5ED336"/>
    <w:lvl w:ilvl="0" w:tplc="75DE63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>
    <w:nsid w:val="591D7EE0"/>
    <w:multiLevelType w:val="hybridMultilevel"/>
    <w:tmpl w:val="3AFC3AD2"/>
    <w:lvl w:ilvl="0" w:tplc="58485E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B3E89"/>
    <w:multiLevelType w:val="hybridMultilevel"/>
    <w:tmpl w:val="B3C03B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41DF"/>
    <w:multiLevelType w:val="hybridMultilevel"/>
    <w:tmpl w:val="ECF28C5C"/>
    <w:lvl w:ilvl="0" w:tplc="FA5A11E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7A2245A0"/>
    <w:multiLevelType w:val="hybridMultilevel"/>
    <w:tmpl w:val="B02AD01A"/>
    <w:lvl w:ilvl="0" w:tplc="6C601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8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10"/>
  </w:num>
  <w:num w:numId="15">
    <w:abstractNumId w:val="15"/>
  </w:num>
  <w:num w:numId="16">
    <w:abstractNumId w:val="17"/>
  </w:num>
  <w:num w:numId="17">
    <w:abstractNumId w:val="14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7605E8"/>
    <w:rsid w:val="00016C19"/>
    <w:rsid w:val="000301B5"/>
    <w:rsid w:val="00041D94"/>
    <w:rsid w:val="000766ED"/>
    <w:rsid w:val="001578BB"/>
    <w:rsid w:val="00165042"/>
    <w:rsid w:val="001C50BB"/>
    <w:rsid w:val="0023275A"/>
    <w:rsid w:val="00251394"/>
    <w:rsid w:val="002A21B3"/>
    <w:rsid w:val="002E259E"/>
    <w:rsid w:val="0030001E"/>
    <w:rsid w:val="004041E0"/>
    <w:rsid w:val="00443B91"/>
    <w:rsid w:val="004B5F18"/>
    <w:rsid w:val="004D63A6"/>
    <w:rsid w:val="004F6300"/>
    <w:rsid w:val="005502FD"/>
    <w:rsid w:val="005815FA"/>
    <w:rsid w:val="005D59E9"/>
    <w:rsid w:val="00667421"/>
    <w:rsid w:val="006C0FD1"/>
    <w:rsid w:val="007605E8"/>
    <w:rsid w:val="007628F8"/>
    <w:rsid w:val="0077675A"/>
    <w:rsid w:val="007C1D91"/>
    <w:rsid w:val="007D5198"/>
    <w:rsid w:val="007F579C"/>
    <w:rsid w:val="00824694"/>
    <w:rsid w:val="009220B5"/>
    <w:rsid w:val="0097752E"/>
    <w:rsid w:val="009803B3"/>
    <w:rsid w:val="009A5D50"/>
    <w:rsid w:val="009E21EB"/>
    <w:rsid w:val="00A72B19"/>
    <w:rsid w:val="00AD149E"/>
    <w:rsid w:val="00B071E3"/>
    <w:rsid w:val="00B534D3"/>
    <w:rsid w:val="00B65299"/>
    <w:rsid w:val="00BD67EF"/>
    <w:rsid w:val="00C12EBE"/>
    <w:rsid w:val="00C40E2B"/>
    <w:rsid w:val="00C42C5A"/>
    <w:rsid w:val="00C73902"/>
    <w:rsid w:val="00CE6475"/>
    <w:rsid w:val="00D07CF5"/>
    <w:rsid w:val="00D474E2"/>
    <w:rsid w:val="00D511B1"/>
    <w:rsid w:val="00DB5413"/>
    <w:rsid w:val="00DF7919"/>
    <w:rsid w:val="00E00C35"/>
    <w:rsid w:val="00E15917"/>
    <w:rsid w:val="00EF2E03"/>
    <w:rsid w:val="00FC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414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creator>biron</dc:creator>
  <cp:lastModifiedBy>LEGRAND</cp:lastModifiedBy>
  <cp:revision>8</cp:revision>
  <cp:lastPrinted>2016-06-06T12:44:00Z</cp:lastPrinted>
  <dcterms:created xsi:type="dcterms:W3CDTF">2016-06-03T15:11:00Z</dcterms:created>
  <dcterms:modified xsi:type="dcterms:W3CDTF">2017-01-24T14:28:00Z</dcterms:modified>
</cp:coreProperties>
</file>