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FE8">
      <w:pPr>
        <w:pStyle w:val="Titre"/>
        <w:ind w:right="-1"/>
        <w:rPr>
          <w:rFonts w:ascii="Arial" w:hAnsi="Arial"/>
        </w:rPr>
      </w:pPr>
      <w:bookmarkStart w:id="0" w:name="_Toc18809345"/>
    </w:p>
    <w:p w:rsidR="00000000" w:rsidRDefault="005E5FE8">
      <w:pPr>
        <w:pStyle w:val="Titre"/>
        <w:rPr>
          <w:rFonts w:ascii="Arial" w:hAnsi="Arial"/>
          <w:sz w:val="32"/>
          <w:szCs w:val="32"/>
        </w:rPr>
      </w:pPr>
    </w:p>
    <w:p w:rsidR="00000000" w:rsidRDefault="005E5FE8">
      <w:pPr>
        <w:pStyle w:val="Titre"/>
        <w:rPr>
          <w:rFonts w:ascii="Arial" w:hAnsi="Arial"/>
          <w:sz w:val="32"/>
          <w:szCs w:val="32"/>
        </w:rPr>
      </w:pPr>
    </w:p>
    <w:p w:rsidR="00000000" w:rsidRDefault="005E5FE8">
      <w:pPr>
        <w:pStyle w:val="Titr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Titre</w:t>
      </w:r>
    </w:p>
    <w:p w:rsidR="00000000" w:rsidRDefault="005E5FE8">
      <w:pPr>
        <w:pStyle w:val="NormalM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PROCEDURE DE CHANGEMENT DE POSITION DU DIFFRACTOMETRE ALIX  </w:t>
      </w: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NormalM"/>
        <w:jc w:val="left"/>
        <w:rPr>
          <w:rFonts w:ascii="Arial" w:hAnsi="Arial"/>
        </w:rPr>
      </w:pPr>
    </w:p>
    <w:p w:rsidR="00000000" w:rsidRDefault="005E5FE8">
      <w:pPr>
        <w:pStyle w:val="NormalM"/>
        <w:rPr>
          <w:rFonts w:ascii="Arial" w:hAnsi="Arial"/>
        </w:rPr>
      </w:pPr>
    </w:p>
    <w:p w:rsidR="00000000" w:rsidRDefault="005E5FE8">
      <w:pPr>
        <w:pStyle w:val="Titre"/>
        <w:rPr>
          <w:rFonts w:ascii="Arial" w:hAnsi="Arial"/>
        </w:rPr>
      </w:pPr>
    </w:p>
    <w:p w:rsidR="00000000" w:rsidRDefault="005E5FE8">
      <w:pPr>
        <w:pStyle w:val="Titre"/>
        <w:rPr>
          <w:rFonts w:ascii="Arial" w:hAnsi="Arial"/>
        </w:rPr>
      </w:pPr>
      <w:r>
        <w:rPr>
          <w:rFonts w:ascii="Arial" w:hAnsi="Arial"/>
        </w:rPr>
        <w:t>TABLE DES MODIFICATIONS</w:t>
      </w:r>
    </w:p>
    <w:p w:rsidR="00000000" w:rsidRDefault="005E5F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922"/>
        <w:gridCol w:w="1134"/>
        <w:gridCol w:w="1964"/>
        <w:gridCol w:w="2147"/>
        <w:gridCol w:w="1842"/>
        <w:gridCol w:w="17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922" w:type="dxa"/>
            <w:tcBorders>
              <w:left w:val="nil"/>
            </w:tcBorders>
            <w:vAlign w:val="center"/>
          </w:tcPr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134" w:type="dxa"/>
            <w:vAlign w:val="center"/>
          </w:tcPr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9/09/08</w:t>
            </w:r>
          </w:p>
        </w:tc>
        <w:tc>
          <w:tcPr>
            <w:tcW w:w="1964" w:type="dxa"/>
            <w:vAlign w:val="center"/>
          </w:tcPr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émission initiale</w:t>
            </w:r>
          </w:p>
        </w:tc>
        <w:tc>
          <w:tcPr>
            <w:tcW w:w="2147" w:type="dxa"/>
          </w:tcPr>
          <w:p w:rsidR="00000000" w:rsidRDefault="005E5FE8">
            <w:pPr>
              <w:pStyle w:val="NormalM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 de l’équipement</w:t>
            </w: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I. Monnet</w:t>
            </w:r>
          </w:p>
        </w:tc>
        <w:tc>
          <w:tcPr>
            <w:tcW w:w="1842" w:type="dxa"/>
          </w:tcPr>
          <w:p w:rsidR="00000000" w:rsidRDefault="005E5FE8">
            <w:pPr>
              <w:pStyle w:val="NormalM"/>
              <w:rPr>
                <w:rFonts w:ascii="Arial" w:hAnsi="Arial"/>
              </w:rPr>
            </w:pPr>
            <w:r>
              <w:rPr>
                <w:rFonts w:ascii="Arial" w:hAnsi="Arial"/>
              </w:rPr>
              <w:t>Chef d’Installation</w:t>
            </w: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jc w:val="left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B. Rannou</w:t>
            </w:r>
          </w:p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72" w:type="dxa"/>
            <w:tcBorders>
              <w:right w:val="nil"/>
            </w:tcBorders>
          </w:tcPr>
          <w:p w:rsidR="00000000" w:rsidRDefault="005E5FE8">
            <w:pPr>
              <w:pStyle w:val="NormalM"/>
              <w:rPr>
                <w:rFonts w:ascii="Arial" w:hAnsi="Arial"/>
              </w:rPr>
            </w:pPr>
            <w:r>
              <w:rPr>
                <w:rFonts w:ascii="Arial" w:hAnsi="Arial"/>
              </w:rPr>
              <w:t>Responsable CIMAP</w:t>
            </w:r>
          </w:p>
          <w:p w:rsidR="00000000" w:rsidRDefault="005E5FE8">
            <w:pPr>
              <w:pStyle w:val="NormalM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  <w:rPr>
                <w:rFonts w:ascii="Arial" w:hAnsi="Arial"/>
              </w:rPr>
            </w:pPr>
          </w:p>
          <w:p w:rsidR="00000000" w:rsidRDefault="005E5FE8">
            <w:pPr>
              <w:pStyle w:val="NormalM"/>
            </w:pPr>
            <w:r>
              <w:rPr>
                <w:rFonts w:ascii="Arial" w:hAnsi="Arial"/>
              </w:rPr>
              <w:t>S. Bouff</w:t>
            </w:r>
            <w:r>
              <w:rPr>
                <w:rFonts w:ascii="Arial" w:hAnsi="Arial"/>
              </w:rPr>
              <w:t>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2" w:type="dxa"/>
            <w:tcBorders>
              <w:left w:val="nil"/>
            </w:tcBorders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indice</w:t>
            </w:r>
          </w:p>
        </w:tc>
        <w:tc>
          <w:tcPr>
            <w:tcW w:w="1134" w:type="dxa"/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964" w:type="dxa"/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nature de la modification</w:t>
            </w:r>
          </w:p>
        </w:tc>
        <w:tc>
          <w:tcPr>
            <w:tcW w:w="2147" w:type="dxa"/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rédacteur</w:t>
            </w:r>
          </w:p>
        </w:tc>
        <w:tc>
          <w:tcPr>
            <w:tcW w:w="1842" w:type="dxa"/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vérificateurs</w:t>
            </w:r>
          </w:p>
        </w:tc>
        <w:tc>
          <w:tcPr>
            <w:tcW w:w="1772" w:type="dxa"/>
            <w:tcBorders>
              <w:right w:val="nil"/>
            </w:tcBorders>
          </w:tcPr>
          <w:p w:rsidR="00000000" w:rsidRDefault="005E5FE8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>approbateur</w:t>
            </w:r>
          </w:p>
        </w:tc>
      </w:tr>
    </w:tbl>
    <w:p w:rsidR="00000000" w:rsidRDefault="005E5FE8">
      <w:pPr>
        <w:pStyle w:val="NormalM"/>
        <w:tabs>
          <w:tab w:val="clear" w:pos="1584"/>
          <w:tab w:val="clear" w:pos="1728"/>
        </w:tabs>
        <w:jc w:val="left"/>
        <w:rPr>
          <w:rFonts w:ascii="Arial" w:hAnsi="Arial"/>
          <w:b/>
          <w:i/>
        </w:rPr>
      </w:pPr>
    </w:p>
    <w:p w:rsidR="00000000" w:rsidRDefault="005E5FE8">
      <w:pPr>
        <w:pStyle w:val="NormalM"/>
        <w:tabs>
          <w:tab w:val="clear" w:pos="1584"/>
          <w:tab w:val="clear" w:pos="1728"/>
        </w:tabs>
        <w:jc w:val="left"/>
        <w:rPr>
          <w:rFonts w:ascii="Arial" w:hAnsi="Arial"/>
          <w:b/>
          <w:i/>
        </w:rPr>
      </w:pPr>
    </w:p>
    <w:bookmarkEnd w:id="0"/>
    <w:p w:rsidR="00000000" w:rsidRDefault="005E5FE8">
      <w:pPr>
        <w:pStyle w:val="Commentaire"/>
        <w:rPr>
          <w:rFonts w:ascii="Arial" w:hAnsi="Arial" w:cs="Arial"/>
          <w:b/>
          <w:bCs/>
        </w:rPr>
      </w:pPr>
    </w:p>
    <w:p w:rsidR="00000000" w:rsidRDefault="005E5FE8" w:rsidP="00A7679F">
      <w:pPr>
        <w:pStyle w:val="Titre1"/>
        <w:rPr>
          <w:bCs w:val="0"/>
          <w:color w:val="000000"/>
        </w:rPr>
      </w:pPr>
      <w:r>
        <w:rPr>
          <w:bCs w:val="0"/>
          <w:color w:val="000000"/>
        </w:rPr>
        <w:lastRenderedPageBreak/>
        <w:t>domaine d’application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procédure définit les modalités de changement de position du diffractomètre ALIX, géré par le CIMAP et utilisé dans la salle IRRSUD.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est émi</w:t>
      </w:r>
      <w:r>
        <w:rPr>
          <w:rFonts w:ascii="Arial" w:hAnsi="Arial" w:cs="Arial"/>
          <w:bCs/>
        </w:rPr>
        <w:t xml:space="preserve">se et gérée par le responsable de l’équipement. 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est vérifiée le Chef d’installation.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est approuvée par le responsable du CIMAP, laboratoire auquel le diffractomètre appartient.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  <w:color w:val="FF0000"/>
        </w:rPr>
      </w:pP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procédure particulière vise à permettre l’exploitation de l’i</w:t>
      </w:r>
      <w:r>
        <w:rPr>
          <w:rFonts w:ascii="Arial" w:hAnsi="Arial" w:cs="Arial"/>
          <w:bCs/>
        </w:rPr>
        <w:t>nstallation après vérification, mais pas à gérer les consignations pour motif de sécurité qui relève de la DIR/CI/27.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est appliquée par le responsable CIMAP de l’équipement qui réalise les changements d’état après demande des utilisateurs (GPI, CIRIL,</w:t>
      </w:r>
      <w:r>
        <w:rPr>
          <w:rFonts w:ascii="Arial" w:hAnsi="Arial" w:cs="Arial"/>
          <w:bCs/>
        </w:rPr>
        <w:t xml:space="preserve"> expérimentateurs) et vérification que les exigences de sécurité définies dans le présent document sont respectées.</w:t>
      </w:r>
    </w:p>
    <w:p w:rsidR="00000000" w:rsidRDefault="005E5FE8">
      <w:pPr>
        <w:pStyle w:val="Commentaire"/>
        <w:ind w:left="432"/>
        <w:rPr>
          <w:rFonts w:ascii="Arial" w:hAnsi="Arial" w:cs="Arial"/>
          <w:bCs/>
        </w:rPr>
      </w:pPr>
    </w:p>
    <w:p w:rsidR="00000000" w:rsidRDefault="005E5FE8" w:rsidP="00A7679F">
      <w:pPr>
        <w:pStyle w:val="Titre1"/>
        <w:rPr>
          <w:bCs w:val="0"/>
        </w:rPr>
      </w:pPr>
      <w:r>
        <w:t>DEFINITIONS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Le diffractomètre est dit « en ligne » lorsqu’il est accosté à la ligne d’irradiation, la ligne d’irradiation étant reliée à la</w:t>
      </w:r>
      <w:r>
        <w:rPr>
          <w:rStyle w:val="Lienhypertexte"/>
          <w:rFonts w:ascii="Arial" w:hAnsi="Arial" w:cs="Arial"/>
          <w:color w:val="auto"/>
          <w:u w:val="none"/>
        </w:rPr>
        <w:t xml:space="preserve"> chambre à vide à l’intérieur du diffractomètre. 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Le diffractomètre est dit « hors ligne » lorsqu’il est découplé de la ligne d’irradiation IRRSUD. Dans ce cas il est au fond de la salle IRRSUD. </w:t>
      </w:r>
    </w:p>
    <w:p w:rsidR="00000000" w:rsidRDefault="005E5FE8">
      <w:pPr>
        <w:rPr>
          <w:rFonts w:ascii="Arial" w:hAnsi="Arial"/>
        </w:rPr>
      </w:pPr>
    </w:p>
    <w:p w:rsidR="00000000" w:rsidRDefault="005E5FE8" w:rsidP="00A7679F">
      <w:pPr>
        <w:pStyle w:val="Titre1"/>
        <w:rPr>
          <w:rStyle w:val="Lienhypertexte"/>
          <w:color w:val="auto"/>
          <w:u w:val="none"/>
        </w:rPr>
      </w:pPr>
      <w:r>
        <w:t>Changement dE POSITION DU DIFFRACTOMETRE</w:t>
      </w:r>
    </w:p>
    <w:p w:rsidR="00000000" w:rsidRDefault="005E5FE8">
      <w:pPr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Pour passer chang</w:t>
      </w:r>
      <w:r>
        <w:rPr>
          <w:rStyle w:val="Lienhypertexte"/>
          <w:rFonts w:ascii="Arial" w:hAnsi="Arial" w:cs="Arial"/>
          <w:color w:val="auto"/>
          <w:u w:val="none"/>
        </w:rPr>
        <w:t>er la position du diffractomètre les actions suivantes sont à effectuer sous le contrôle du  responsable de l’équipement :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Consignation de l’équipement par le responsable de l’équipement (clé de démarrage).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Déplacement de l’équipement.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Installation des </w:t>
      </w:r>
      <w:r>
        <w:rPr>
          <w:rStyle w:val="Lienhypertexte"/>
          <w:rFonts w:ascii="Arial" w:hAnsi="Arial" w:cs="Arial"/>
          <w:color w:val="auto"/>
          <w:u w:val="none"/>
        </w:rPr>
        <w:t xml:space="preserve">protections biologiques conformément à la liste validée par le SPR. </w:t>
      </w:r>
    </w:p>
    <w:p w:rsidR="00000000" w:rsidRDefault="005E5FE8">
      <w:pPr>
        <w:ind w:left="432"/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Déconsignation provisoire pour contrôle.</w:t>
      </w:r>
    </w:p>
    <w:p w:rsidR="00000000" w:rsidRDefault="005E5FE8">
      <w:pPr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Vérification du niveau de rayonnement par le SPR à la puissance nominale, émission d’un PV de contrôle à destination du responsable CIMAP de l’é</w:t>
      </w:r>
      <w:r>
        <w:rPr>
          <w:rStyle w:val="Lienhypertexte"/>
          <w:rFonts w:ascii="Arial" w:hAnsi="Arial" w:cs="Arial"/>
          <w:color w:val="auto"/>
          <w:u w:val="none"/>
        </w:rPr>
        <w:t xml:space="preserve">quipement. </w:t>
      </w:r>
    </w:p>
    <w:p w:rsidR="00000000" w:rsidRDefault="005E5FE8">
      <w:pPr>
        <w:rPr>
          <w:rStyle w:val="Lienhypertexte"/>
          <w:rFonts w:ascii="Arial" w:hAnsi="Arial" w:cs="Arial"/>
          <w:color w:val="auto"/>
          <w:u w:val="none"/>
        </w:rPr>
      </w:pPr>
    </w:p>
    <w:p w:rsidR="00000000" w:rsidRDefault="005E5FE8">
      <w:pPr>
        <w:numPr>
          <w:ilvl w:val="0"/>
          <w:numId w:val="12"/>
        </w:numPr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Déconsignation de l’équipement par le responsable de l’équipement (clé de démarrage).</w:t>
      </w:r>
    </w:p>
    <w:p w:rsidR="00000000" w:rsidRDefault="005E5FE8" w:rsidP="00A7679F">
      <w:pPr>
        <w:pStyle w:val="Titre1"/>
      </w:pPr>
      <w:r>
        <w:t>ENREGISTREMENTS</w:t>
      </w:r>
    </w:p>
    <w:p w:rsidR="00000000" w:rsidRDefault="005E5FE8">
      <w:pPr>
        <w:pStyle w:val="Titre2"/>
      </w:pPr>
      <w:r>
        <w:t xml:space="preserve">Registre </w:t>
      </w:r>
    </w:p>
    <w:p w:rsidR="00000000" w:rsidRDefault="005E5FE8" w:rsidP="00A7679F">
      <w:pPr>
        <w:pStyle w:val="Corpsdetexte"/>
        <w:numPr>
          <w:ilvl w:val="0"/>
          <w:numId w:val="14"/>
        </w:numPr>
      </w:pPr>
      <w:r>
        <w:t>Un registre de gestion des «position du diffractomètre » est tenu à jour et conservé dans la salle de commande IRRSUD.</w:t>
      </w:r>
    </w:p>
    <w:p w:rsidR="00000000" w:rsidRDefault="005E5FE8" w:rsidP="00A7679F">
      <w:pPr>
        <w:pStyle w:val="Corpsdetexte"/>
        <w:numPr>
          <w:ilvl w:val="0"/>
          <w:numId w:val="14"/>
        </w:numPr>
      </w:pPr>
      <w:r>
        <w:t>Chaque chang</w:t>
      </w:r>
      <w:r>
        <w:t>ement d’état porte un numéro de type  « année,</w:t>
      </w:r>
      <w:r>
        <w:rPr>
          <w:color w:val="FF0000"/>
        </w:rPr>
        <w:t xml:space="preserve"> </w:t>
      </w:r>
      <w:r>
        <w:t xml:space="preserve">numéro». </w:t>
      </w:r>
    </w:p>
    <w:p w:rsidR="00000000" w:rsidRDefault="005E5FE8" w:rsidP="00A7679F">
      <w:pPr>
        <w:pStyle w:val="Corpsdetexte"/>
        <w:numPr>
          <w:ilvl w:val="0"/>
          <w:numId w:val="14"/>
        </w:numPr>
      </w:pPr>
      <w:r>
        <w:t>Il est renseigné par le responsable d’équipement</w:t>
      </w:r>
    </w:p>
    <w:p w:rsidR="00000000" w:rsidRDefault="005E5FE8" w:rsidP="00A7679F">
      <w:pPr>
        <w:pStyle w:val="Corpsdetexte"/>
        <w:numPr>
          <w:ilvl w:val="0"/>
          <w:numId w:val="14"/>
        </w:numPr>
      </w:pPr>
      <w:r>
        <w:t>Il comprend les champs suivants :</w:t>
      </w:r>
    </w:p>
    <w:p w:rsidR="00000000" w:rsidRDefault="005E5FE8" w:rsidP="00A7679F">
      <w:pPr>
        <w:pStyle w:val="Corpsdetexte"/>
        <w:numPr>
          <w:ilvl w:val="1"/>
          <w:numId w:val="14"/>
        </w:numPr>
      </w:pPr>
      <w:r>
        <w:t>année</w:t>
      </w:r>
    </w:p>
    <w:p w:rsidR="00000000" w:rsidRDefault="005E5FE8" w:rsidP="00A7679F">
      <w:pPr>
        <w:pStyle w:val="Corpsdetexte"/>
        <w:numPr>
          <w:ilvl w:val="1"/>
          <w:numId w:val="14"/>
        </w:numPr>
      </w:pPr>
      <w:r>
        <w:t>numéro</w:t>
      </w:r>
    </w:p>
    <w:p w:rsidR="00000000" w:rsidRDefault="005E5FE8" w:rsidP="00A7679F">
      <w:pPr>
        <w:pStyle w:val="Corpsdetexte"/>
        <w:numPr>
          <w:ilvl w:val="1"/>
          <w:numId w:val="14"/>
        </w:numPr>
      </w:pPr>
      <w:r>
        <w:t>date</w:t>
      </w:r>
    </w:p>
    <w:p w:rsidR="00000000" w:rsidRDefault="005E5FE8" w:rsidP="00A7679F">
      <w:pPr>
        <w:pStyle w:val="Corpsdetexte"/>
        <w:numPr>
          <w:ilvl w:val="1"/>
          <w:numId w:val="14"/>
        </w:numPr>
      </w:pPr>
      <w:r>
        <w:t>motif de changement d’état (manip, travaux, nom du demandeur…)</w:t>
      </w:r>
    </w:p>
    <w:p w:rsidR="00000000" w:rsidRDefault="005E5FE8" w:rsidP="00A7679F">
      <w:pPr>
        <w:pStyle w:val="Corpsdetexte"/>
        <w:numPr>
          <w:ilvl w:val="1"/>
          <w:numId w:val="14"/>
        </w:numPr>
      </w:pPr>
      <w:r>
        <w:t>nom du responsable</w:t>
      </w:r>
    </w:p>
    <w:p w:rsidR="00000000" w:rsidRDefault="005E5FE8" w:rsidP="00A7679F">
      <w:pPr>
        <w:pStyle w:val="Corpsdetexte"/>
        <w:numPr>
          <w:ilvl w:val="1"/>
          <w:numId w:val="14"/>
        </w:numPr>
        <w:rPr>
          <w:rStyle w:val="Lienhypertexte"/>
          <w:color w:val="auto"/>
          <w:u w:val="none"/>
        </w:rPr>
      </w:pPr>
      <w:r>
        <w:t>Signature du SPR</w:t>
      </w:r>
      <w:r>
        <w:t xml:space="preserve"> après vérification du niveau de rayonnement</w:t>
      </w:r>
    </w:p>
    <w:sectPr w:rsidR="0000000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1418" w:right="1134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E5FE8">
      <w:r>
        <w:separator/>
      </w:r>
    </w:p>
  </w:endnote>
  <w:endnote w:type="continuationSeparator" w:id="0">
    <w:p w:rsidR="00000000" w:rsidRDefault="005E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FE8">
    <w:pPr>
      <w:pStyle w:val="Pieddepage"/>
      <w:jc w:val="right"/>
      <w:rPr>
        <w:rFonts w:ascii="Arial" w:hAnsi="Arial"/>
        <w:sz w:val="10"/>
      </w:rPr>
    </w:pPr>
    <w:r>
      <w:rPr>
        <w:noProof/>
      </w:rPr>
      <w:pict>
        <v:line id="_x0000_s2049" style="position:absolute;left:0;text-align:left;z-index:251652096" from="-.35pt,9.1pt" to="482.7pt,9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50" type="#_x0000_t19" style="position:absolute;left:0;text-align:left;margin-left:-15.05pt;margin-top:-2.3pt;width:14.15pt;height:11.45pt;flip:x y;z-index:251653120" o:allowincell="f" strokeweight="1pt"/>
      </w:pict>
    </w:r>
    <w:r>
      <w:rPr>
        <w:noProof/>
      </w:rPr>
      <w:pict>
        <v:shape id="_x0000_s2051" type="#_x0000_t19" style="position:absolute;left:0;text-align:left;margin-left:482.05pt;margin-top:-2.3pt;width:13.85pt;height:11.45pt;flip:y;z-index:251654144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E5FE8">
      <w:r>
        <w:separator/>
      </w:r>
    </w:p>
  </w:footnote>
  <w:footnote w:type="continuationSeparator" w:id="0">
    <w:p w:rsidR="00000000" w:rsidRDefault="005E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F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0" type="#_x0000_t136" style="position:absolute;left:0;text-align:left;margin-left:0;margin-top:0;width:566.25pt;height:113.2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sion 1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213" w:type="dxa"/>
      <w:tblBorders>
        <w:bottom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835"/>
      <w:gridCol w:w="4536"/>
      <w:gridCol w:w="2835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</w:tcPr>
        <w:p w:rsidR="00000000" w:rsidRDefault="005E5FE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1390015" cy="541020"/>
                <wp:effectExtent l="19050" t="0" r="635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>
              <v:line id="_x0000_s2068" style="position:absolute;left:0;text-align:left;z-index:-251659264;mso-position-horizontal-relative:text;mso-position-vertical-relative:text" from="495.85pt,17pt" to="495.9pt,778.15pt" o:allowincell="f" strokeweight="1pt">
                <v:stroke startarrowwidth="narrow" startarrowlength="short" endarrowwidth="narrow" endarrowlength="short"/>
              </v:line>
            </w:pict>
          </w:r>
          <w:r>
            <w:rPr>
              <w:noProof/>
            </w:rPr>
            <w:pict>
              <v:line id="_x0000_s2069" style="position:absolute;left:0;text-align:left;flip:y;z-index:251658240;mso-position-horizontal-relative:text;mso-position-vertical-relative:text" from="-15.05pt,13.1pt" to="-14.7pt,776.95pt" o:allowincell="f" strokeweight="1pt">
                <v:stroke startarrowwidth="narrow" startarrowlength="short" endarrowwidth="narrow" endarrowlength="short"/>
              </v:line>
            </w:pict>
          </w:r>
          <w:r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70" type="#_x0000_t19" style="position:absolute;left:0;text-align:left;margin-left:-14.75pt;margin-top:.2pt;width:13.85pt;height:14.15pt;flip:x;z-index:251659264;mso-position-horizontal-relative:text;mso-position-vertical-relative:text" o:allowincell="f" strokeweight="1pt"/>
            </w:pict>
          </w:r>
          <w:r>
            <w:rPr>
              <w:noProof/>
            </w:rPr>
            <w:pict>
              <v:line id="_x0000_s2074" style="position:absolute;left:0;text-align:left;z-index:251663360;mso-position-horizontal-relative:text;mso-position-vertical-relative:text" from="127.15pt,.2pt" to="354.3pt,.25pt" o:allowincell="f" strokeweight="1pt">
                <v:stroke startarrowwidth="narrow" startarrowlength="short" endarrowwidth="narrow" endarrowlength="short"/>
              </v:line>
            </w:pict>
          </w:r>
          <w:r>
            <w:rPr>
              <w:noProof/>
            </w:rPr>
            <w:pict>
              <v:line id="_x0000_s2073" style="position:absolute;left:0;text-align:left;z-index:251662336;mso-position-horizontal-relative:text;mso-position-vertical-relative:text" from="353.95pt,.2pt" to="482.4pt,.25pt" o:allowincell="f" strokeweight="1pt">
                <v:stroke startarrowwidth="narrow" startarrowlength="short" endarrowwidth="narrow" endarrowlength="short"/>
              </v:line>
            </w:pict>
          </w:r>
          <w:r>
            <w:rPr>
              <w:noProof/>
            </w:rPr>
            <w:pict>
              <v:shape id="_x0000_s2071" type="#_x0000_t19" style="position:absolute;left:0;text-align:left;margin-left:481.75pt;margin-top:.2pt;width:14.15pt;height:16.25pt;z-index:251660288;mso-position-horizontal-relative:text;mso-position-vertical-relative:text" o:allowincell="f" strokeweight="1pt"/>
            </w:pict>
          </w:r>
          <w:r>
            <w:rPr>
              <w:noProof/>
            </w:rPr>
            <w:pict>
              <v:line id="_x0000_s2072" style="position:absolute;left:0;text-align:left;z-index:251661312;mso-position-horizontal-relative:text;mso-position-vertical-relative:text" from="-.65pt,.2pt" to="127.5pt,.25pt" o:allowincell="f" strokeweight="1pt">
                <v:stroke startarrowwidth="narrow" startarrowlength="short" endarrowwidth="narrow" endarrowlength="short"/>
              </v:line>
            </w:pict>
          </w:r>
          <w:bookmarkStart w:id="1" w:name="_MON_952169582"/>
          <w:bookmarkEnd w:id="1"/>
        </w:p>
      </w:tc>
      <w:tc>
        <w:tcPr>
          <w:tcW w:w="4536" w:type="dxa"/>
          <w:vMerge w:val="restart"/>
        </w:tcPr>
        <w:p w:rsidR="00000000" w:rsidRDefault="005E5FE8">
          <w:pPr>
            <w:pStyle w:val="En-tte"/>
            <w:jc w:val="center"/>
          </w:pPr>
        </w:p>
        <w:p w:rsidR="00000000" w:rsidRDefault="005E5FE8">
          <w:pPr>
            <w:pStyle w:val="En-tte"/>
            <w:jc w:val="center"/>
          </w:pPr>
          <w:r>
            <w:t>Procédure de changement</w:t>
          </w:r>
        </w:p>
        <w:p w:rsidR="00000000" w:rsidRDefault="005E5FE8">
          <w:pPr>
            <w:pStyle w:val="En-tte"/>
            <w:jc w:val="center"/>
          </w:pPr>
          <w:r>
            <w:t xml:space="preserve"> de position du diffractométre ALIX</w:t>
          </w:r>
        </w:p>
        <w:p w:rsidR="00000000" w:rsidRDefault="005E5FE8">
          <w:pPr>
            <w:pStyle w:val="En-tte"/>
            <w:rPr>
              <w:caps/>
            </w:rPr>
          </w:pPr>
        </w:p>
      </w:tc>
      <w:tc>
        <w:tcPr>
          <w:tcW w:w="2835" w:type="dxa"/>
          <w:vMerge w:val="restart"/>
        </w:tcPr>
        <w:p w:rsidR="00000000" w:rsidRDefault="005E5FE8">
          <w:pPr>
            <w:pStyle w:val="En-tte"/>
            <w:jc w:val="center"/>
            <w:rPr>
              <w:rStyle w:val="Numrodepage"/>
            </w:rPr>
          </w:pPr>
        </w:p>
        <w:p w:rsidR="00000000" w:rsidRDefault="005E5FE8">
          <w:pPr>
            <w:pStyle w:val="En-tte"/>
            <w:jc w:val="center"/>
            <w:rPr>
              <w:rFonts w:ascii="Arial" w:hAnsi="Arial"/>
              <w:sz w:val="20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  <w:p w:rsidR="00000000" w:rsidRDefault="005E5FE8">
          <w:pPr>
            <w:pStyle w:val="En-tte"/>
            <w:jc w:val="center"/>
            <w:rPr>
              <w:rFonts w:ascii="Arial" w:hAnsi="Arial"/>
              <w:sz w:val="20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835" w:type="dxa"/>
        </w:tcPr>
        <w:p w:rsidR="00000000" w:rsidRDefault="005E5FE8">
          <w:pPr>
            <w:pStyle w:val="En-tte"/>
            <w:jc w:val="center"/>
            <w:rPr>
              <w:rFonts w:ascii="Arial" w:hAnsi="Arial"/>
              <w:i/>
              <w:sz w:val="20"/>
            </w:rPr>
          </w:pPr>
          <w:r>
            <w:t>CIMAP/QSE/IM/008-A</w:t>
          </w:r>
        </w:p>
      </w:tc>
      <w:tc>
        <w:tcPr>
          <w:tcW w:w="4536" w:type="dxa"/>
          <w:vMerge/>
        </w:tcPr>
        <w:p w:rsidR="00000000" w:rsidRDefault="005E5FE8">
          <w:pPr>
            <w:pStyle w:val="En-tte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35" w:type="dxa"/>
          <w:vMerge/>
        </w:tcPr>
        <w:p w:rsidR="00000000" w:rsidRDefault="005E5FE8">
          <w:pPr>
            <w:pStyle w:val="En-tte"/>
            <w:jc w:val="center"/>
            <w:rPr>
              <w:rFonts w:ascii="Helvetica" w:hAnsi="Helvetica"/>
              <w:b/>
              <w:color w:val="FF0000"/>
              <w:sz w:val="20"/>
            </w:rPr>
          </w:pPr>
        </w:p>
      </w:tc>
    </w:tr>
  </w:tbl>
  <w:p w:rsidR="00000000" w:rsidRDefault="005E5FE8">
    <w:pPr>
      <w:pStyle w:val="En-tte"/>
      <w:rPr>
        <w:rFonts w:ascii="Arial" w:hAnsi="Arial"/>
        <w:sz w:val="4"/>
      </w:rPr>
    </w:pPr>
  </w:p>
  <w:p w:rsidR="00000000" w:rsidRDefault="005E5FE8">
    <w:pPr>
      <w:pStyle w:val="En-tte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5F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9" type="#_x0000_t136" style="position:absolute;left:0;text-align:left;margin-left:0;margin-top:0;width:566.25pt;height:113.2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ersion 1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412"/>
    <w:multiLevelType w:val="multilevel"/>
    <w:tmpl w:val="766CA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CED3D4F"/>
    <w:multiLevelType w:val="hybridMultilevel"/>
    <w:tmpl w:val="8EC6B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C53B9"/>
    <w:multiLevelType w:val="hybridMultilevel"/>
    <w:tmpl w:val="5B52F13A"/>
    <w:lvl w:ilvl="0" w:tplc="5D3046D2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348D51EC"/>
    <w:multiLevelType w:val="hybridMultilevel"/>
    <w:tmpl w:val="225ED6F2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D415A4"/>
    <w:multiLevelType w:val="multilevel"/>
    <w:tmpl w:val="F72CFCB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4EE2A29"/>
    <w:multiLevelType w:val="hybridMultilevel"/>
    <w:tmpl w:val="5DFAD8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641A0"/>
    <w:multiLevelType w:val="hybridMultilevel"/>
    <w:tmpl w:val="76D4018A"/>
    <w:lvl w:ilvl="0" w:tplc="6F42AF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7598F"/>
    <w:multiLevelType w:val="hybridMultilevel"/>
    <w:tmpl w:val="12F0E0C0"/>
    <w:lvl w:ilvl="0" w:tplc="040C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573F4D38"/>
    <w:multiLevelType w:val="hybridMultilevel"/>
    <w:tmpl w:val="372CE7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84C82"/>
    <w:multiLevelType w:val="multilevel"/>
    <w:tmpl w:val="9B5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F39DB"/>
    <w:multiLevelType w:val="multilevel"/>
    <w:tmpl w:val="7AF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C95F64"/>
    <w:multiLevelType w:val="hybridMultilevel"/>
    <w:tmpl w:val="B9CAFC6C"/>
    <w:lvl w:ilvl="0" w:tplc="5D3046D2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5D512D66"/>
    <w:multiLevelType w:val="hybridMultilevel"/>
    <w:tmpl w:val="A6B4B8E6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EE4C14"/>
    <w:multiLevelType w:val="hybridMultilevel"/>
    <w:tmpl w:val="E68C1EC4"/>
    <w:lvl w:ilvl="0" w:tplc="5D3046D2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FE8"/>
    <w:rsid w:val="005E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 w:after="120"/>
      <w:outlineLvl w:val="0"/>
    </w:pPr>
    <w:rPr>
      <w:rFonts w:ascii="Arial" w:hAnsi="Arial" w:cs="Arial"/>
      <w:b/>
      <w:bCs/>
      <w:caps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P0R1">
    <w:name w:val="P0 R1"/>
    <w:basedOn w:val="P0"/>
    <w:pPr>
      <w:ind w:left="567" w:hanging="141"/>
    </w:pPr>
  </w:style>
  <w:style w:type="paragraph" w:customStyle="1" w:styleId="P0">
    <w:name w:val="P0"/>
    <w:basedOn w:val="Normal"/>
    <w:pPr>
      <w:ind w:left="142" w:hanging="142"/>
      <w:jc w:val="both"/>
    </w:pPr>
    <w:rPr>
      <w:sz w:val="24"/>
    </w:rPr>
  </w:style>
  <w:style w:type="paragraph" w:customStyle="1" w:styleId="P0R2">
    <w:name w:val="P0 R2"/>
    <w:basedOn w:val="P0R1"/>
    <w:pPr>
      <w:ind w:left="993" w:hanging="142"/>
    </w:pPr>
  </w:style>
  <w:style w:type="paragraph" w:styleId="Retraitcorpsdetexte2">
    <w:name w:val="Body Text Indent 2"/>
    <w:basedOn w:val="Normal"/>
    <w:semiHidden/>
    <w:pPr>
      <w:ind w:left="106" w:hanging="106"/>
      <w:jc w:val="both"/>
    </w:pPr>
    <w:rPr>
      <w:sz w:val="24"/>
    </w:rPr>
  </w:style>
  <w:style w:type="paragraph" w:styleId="Notedebasdepage">
    <w:name w:val="footnote text"/>
    <w:basedOn w:val="Normal"/>
    <w:semiHidden/>
    <w:pPr>
      <w:jc w:val="both"/>
    </w:pPr>
    <w:rPr>
      <w:sz w:val="24"/>
    </w:rPr>
  </w:style>
  <w:style w:type="paragraph" w:customStyle="1" w:styleId="NormalM">
    <w:name w:val="NormalM"/>
    <w:basedOn w:val="Normal"/>
    <w:pPr>
      <w:tabs>
        <w:tab w:val="left" w:pos="1584"/>
        <w:tab w:val="left" w:pos="1728"/>
      </w:tabs>
      <w:jc w:val="center"/>
    </w:pPr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styleId="TM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TM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TM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TM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TM9">
    <w:name w:val="toc 9"/>
    <w:basedOn w:val="Normal"/>
    <w:next w:val="Normal"/>
    <w:autoRedefine/>
    <w:semiHidden/>
    <w:pPr>
      <w:ind w:left="1400"/>
    </w:pPr>
    <w:rPr>
      <w:szCs w:val="24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Normalcentr">
    <w:name w:val="Block Text"/>
    <w:basedOn w:val="Normal"/>
    <w:semiHidden/>
    <w:pPr>
      <w:spacing w:line="360" w:lineRule="auto"/>
      <w:ind w:left="567" w:right="282" w:hanging="567"/>
      <w:jc w:val="both"/>
    </w:pPr>
  </w:style>
  <w:style w:type="paragraph" w:styleId="Commentaire">
    <w:name w:val="annotation text"/>
    <w:basedOn w:val="Normal"/>
    <w:semiHidden/>
  </w:style>
  <w:style w:type="paragraph" w:styleId="Listepuces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Corpsdetexte">
    <w:name w:val="Body Text"/>
    <w:basedOn w:val="Normal"/>
    <w:semiHidden/>
    <w:pPr>
      <w:spacing w:after="120"/>
    </w:pPr>
    <w:rPr>
      <w:rFonts w:ascii="Arial" w:hAnsi="Arial" w:cs="Arial"/>
    </w:rPr>
  </w:style>
  <w:style w:type="paragraph" w:customStyle="1" w:styleId="BodyTextIndent2">
    <w:name w:val="Body Text Indent 2"/>
    <w:basedOn w:val="Normal"/>
    <w:pPr>
      <w:spacing w:after="120"/>
      <w:ind w:left="106" w:hanging="106"/>
      <w:jc w:val="both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639"/>
      </w:tabs>
      <w:spacing w:after="120"/>
      <w:ind w:left="400" w:hanging="400"/>
      <w:jc w:val="both"/>
    </w:pPr>
    <w:rPr>
      <w:rFonts w:ascii="Arial" w:hAnsi="Arial"/>
    </w:rPr>
  </w:style>
  <w:style w:type="paragraph" w:styleId="Titre">
    <w:name w:val="Title"/>
    <w:basedOn w:val="Normal"/>
    <w:qFormat/>
    <w:pPr>
      <w:spacing w:before="120" w:after="240"/>
      <w:jc w:val="center"/>
    </w:pPr>
    <w:rPr>
      <w:b/>
      <w:i/>
      <w:color w:val="0000FF"/>
      <w:sz w:val="28"/>
    </w:rPr>
  </w:style>
  <w:style w:type="paragraph" w:styleId="Lgende">
    <w:name w:val="caption"/>
    <w:basedOn w:val="Normal"/>
    <w:next w:val="Normal"/>
    <w:qFormat/>
    <w:pPr>
      <w:spacing w:after="120"/>
      <w:jc w:val="center"/>
    </w:pPr>
    <w:rPr>
      <w:b/>
      <w:color w:val="00FF00"/>
    </w:rPr>
  </w:style>
  <w:style w:type="paragraph" w:styleId="Corpsdetexte2">
    <w:name w:val="Body Text 2"/>
    <w:basedOn w:val="Normal"/>
    <w:semiHidden/>
    <w:rPr>
      <w:rFonts w:ascii="Arial" w:hAnsi="Arial"/>
      <w:sz w:val="16"/>
    </w:rPr>
  </w:style>
  <w:style w:type="paragraph" w:styleId="Retraitcorpsdetexte">
    <w:name w:val="Body Text Indent"/>
    <w:basedOn w:val="Normal"/>
    <w:semiHidden/>
    <w:pPr>
      <w:spacing w:after="120"/>
      <w:ind w:left="708"/>
      <w:jc w:val="both"/>
    </w:pPr>
    <w:rPr>
      <w:rFonts w:ascii="Arial" w:hAnsi="Arial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Corpsdetexte3">
    <w:name w:val="Body Text 3"/>
    <w:basedOn w:val="Normal"/>
    <w:semiHidden/>
    <w:pPr>
      <w:spacing w:after="120"/>
      <w:jc w:val="both"/>
    </w:pPr>
    <w:rPr>
      <w:rFonts w:ascii="Arial" w:hAnsi="Arial"/>
      <w:b/>
    </w:rPr>
  </w:style>
  <w:style w:type="paragraph" w:customStyle="1" w:styleId="NR1">
    <w:name w:val="NR1"/>
    <w:basedOn w:val="Normal"/>
    <w:pPr>
      <w:ind w:left="426" w:hanging="142"/>
      <w:jc w:val="both"/>
    </w:pPr>
    <w:rPr>
      <w:rFonts w:ascii="Arial" w:hAnsi="Arial"/>
      <w:sz w:val="22"/>
    </w:rPr>
  </w:style>
  <w:style w:type="paragraph" w:customStyle="1" w:styleId="NR2">
    <w:name w:val="NR2"/>
    <w:basedOn w:val="NR1"/>
    <w:autoRedefine/>
    <w:pPr>
      <w:spacing w:before="120" w:after="120"/>
      <w:ind w:left="2487" w:hanging="360"/>
      <w:jc w:val="left"/>
    </w:pPr>
    <w:rPr>
      <w:rFonts w:ascii="Times New Roman" w:hAnsi="Times New Roman"/>
      <w:b/>
      <w:i/>
      <w:color w:val="00FF00"/>
      <w:sz w:val="24"/>
    </w:rPr>
  </w:style>
  <w:style w:type="paragraph" w:customStyle="1" w:styleId="NR3">
    <w:name w:val="NR3"/>
    <w:basedOn w:val="NR2"/>
    <w:autoRedefine/>
    <w:pPr>
      <w:ind w:left="1701"/>
    </w:pPr>
    <w:rPr>
      <w:sz w:val="20"/>
    </w:rPr>
  </w:style>
  <w:style w:type="paragraph" w:customStyle="1" w:styleId="BodyText2">
    <w:name w:val="Body Text 2"/>
    <w:basedOn w:val="Normal"/>
    <w:pPr>
      <w:jc w:val="both"/>
    </w:pPr>
    <w:rPr>
      <w:rFonts w:ascii="Arial" w:hAnsi="Arial"/>
      <w:i/>
    </w:rPr>
  </w:style>
  <w:style w:type="paragraph" w:customStyle="1" w:styleId="PS">
    <w:name w:val="PS"/>
    <w:basedOn w:val="Normal"/>
    <w:pPr>
      <w:ind w:left="851" w:right="369"/>
      <w:jc w:val="both"/>
    </w:pPr>
    <w:rPr>
      <w:sz w:val="24"/>
    </w:rPr>
  </w:style>
  <w:style w:type="paragraph" w:customStyle="1" w:styleId="NR0">
    <w:name w:val="NR0"/>
    <w:basedOn w:val="Normal"/>
    <w:autoRedefine/>
    <w:pPr>
      <w:spacing w:before="120" w:after="40"/>
      <w:jc w:val="both"/>
    </w:pPr>
    <w:rPr>
      <w:color w:val="FF0000"/>
      <w:sz w:val="24"/>
    </w:rPr>
  </w:style>
  <w:style w:type="paragraph" w:styleId="Retraitcorpsdetexte3">
    <w:name w:val="Body Text Indent 3"/>
    <w:basedOn w:val="Normal"/>
    <w:semiHidden/>
    <w:pPr>
      <w:tabs>
        <w:tab w:val="num" w:pos="284"/>
      </w:tabs>
      <w:ind w:left="284"/>
      <w:jc w:val="both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spacing w:after="120"/>
      <w:ind w:left="200" w:hanging="200"/>
      <w:jc w:val="both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spacing w:after="120"/>
      <w:ind w:left="400" w:hanging="200"/>
      <w:jc w:val="both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spacing w:after="120"/>
      <w:ind w:left="600" w:hanging="200"/>
      <w:jc w:val="both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spacing w:after="120"/>
      <w:ind w:left="800" w:hanging="200"/>
      <w:jc w:val="both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spacing w:after="120"/>
      <w:ind w:left="1000" w:hanging="200"/>
      <w:jc w:val="both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spacing w:after="120"/>
      <w:ind w:left="1200" w:hanging="200"/>
      <w:jc w:val="both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spacing w:after="120"/>
      <w:ind w:left="1400" w:hanging="200"/>
      <w:jc w:val="both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spacing w:after="120"/>
      <w:ind w:left="1600" w:hanging="200"/>
      <w:jc w:val="both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spacing w:after="120"/>
      <w:ind w:left="1800" w:hanging="200"/>
      <w:jc w:val="both"/>
    </w:pPr>
    <w:rPr>
      <w:rFonts w:ascii="Arial" w:hAnsi="Arial"/>
    </w:rPr>
  </w:style>
  <w:style w:type="paragraph" w:styleId="Titreindex">
    <w:name w:val="index heading"/>
    <w:basedOn w:val="Normal"/>
    <w:next w:val="Index1"/>
    <w:semiHidden/>
    <w:pPr>
      <w:spacing w:after="120"/>
      <w:jc w:val="both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fonctionnel UGB</vt:lpstr>
    </vt:vector>
  </TitlesOfParts>
  <Company>GANIL</Company>
  <LinksUpToDate>false</LinksUpToDate>
  <CharactersWithSpaces>2600</CharactersWithSpaces>
  <SharedDoc>false</SharedDoc>
  <HLinks>
    <vt:vector size="6" baseType="variant">
      <vt:variant>
        <vt:i4>6881323</vt:i4>
      </vt:variant>
      <vt:variant>
        <vt:i4>3644</vt:i4>
      </vt:variant>
      <vt:variant>
        <vt:i4>1025</vt:i4>
      </vt:variant>
      <vt:variant>
        <vt:i4>1</vt:i4>
      </vt:variant>
      <vt:variant>
        <vt:lpwstr>lettre haut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fonctionnel UGB</dc:title>
  <dc:creator>Gérard DHILLY</dc:creator>
  <cp:keywords>cahier des charges,UGB, INB 113</cp:keywords>
  <cp:lastModifiedBy>legrand</cp:lastModifiedBy>
  <cp:revision>2</cp:revision>
  <cp:lastPrinted>2008-10-21T10:47:00Z</cp:lastPrinted>
  <dcterms:created xsi:type="dcterms:W3CDTF">2013-04-26T07:56:00Z</dcterms:created>
  <dcterms:modified xsi:type="dcterms:W3CDTF">2013-04-26T07:56:00Z</dcterms:modified>
</cp:coreProperties>
</file>