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jc w:val="left"/>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jc w:val="left"/>
      </w:pPr>
    </w:p>
    <w:p w:rsidR="00671245" w:rsidRDefault="00671245">
      <w:pPr>
        <w:pStyle w:val="Titre"/>
      </w:pPr>
    </w:p>
    <w:p w:rsidR="00671245" w:rsidRDefault="00671245">
      <w:pPr>
        <w:pStyle w:val="Titre"/>
      </w:pPr>
    </w:p>
    <w:p w:rsidR="00671245" w:rsidRDefault="00671245">
      <w:pPr>
        <w:pStyle w:val="Titre"/>
      </w:pPr>
    </w:p>
    <w:p w:rsidR="00671245" w:rsidRDefault="00671245">
      <w:pPr>
        <w:pStyle w:val="Titre"/>
      </w:pPr>
      <w:r>
        <w:t>TITRE</w:t>
      </w:r>
    </w:p>
    <w:p w:rsidR="00671245" w:rsidRDefault="00671245">
      <w:pPr>
        <w:jc w:val="center"/>
      </w:pPr>
    </w:p>
    <w:p w:rsidR="00671245" w:rsidRDefault="00671245">
      <w:pPr>
        <w:jc w:val="center"/>
      </w:pPr>
    </w:p>
    <w:p w:rsidR="00671245" w:rsidRDefault="00671245">
      <w:pPr>
        <w:jc w:val="center"/>
      </w:pPr>
    </w:p>
    <w:p w:rsidR="00671245" w:rsidRDefault="00671245">
      <w:pPr>
        <w:jc w:val="center"/>
      </w:pPr>
    </w:p>
    <w:p w:rsidR="00671245" w:rsidRDefault="00502A55">
      <w:pPr>
        <w:pStyle w:val="Normalcentr"/>
      </w:pPr>
      <w:r>
        <w:t>Descriptif des asservissement</w:t>
      </w:r>
      <w:r w:rsidR="0098035D">
        <w:t>s</w:t>
      </w:r>
      <w:r>
        <w:t xml:space="preserve"> et dispositifs de sécurité du</w:t>
      </w:r>
      <w:r w:rsidR="00671245">
        <w:t xml:space="preserve"> diffractom</w:t>
      </w:r>
      <w:r>
        <w:t>è</w:t>
      </w:r>
      <w:r w:rsidR="00671245">
        <w:t xml:space="preserve">tre de rayons X </w:t>
      </w:r>
      <w:r w:rsidR="00A4537F">
        <w:t>Bruker D8 Discover</w:t>
      </w:r>
      <w:r w:rsidR="00671245">
        <w:t xml:space="preserve"> </w:t>
      </w:r>
      <w:r>
        <w:t>modifié pour la mise en ligne sur IRRSUD conformément au dossier CIMAP/QSE/IM/009-A</w:t>
      </w:r>
    </w:p>
    <w:p w:rsidR="00671245" w:rsidRDefault="00671245">
      <w:pPr>
        <w:jc w:val="center"/>
      </w:pPr>
      <w:r>
        <w:t>__________</w:t>
      </w:r>
    </w:p>
    <w:p w:rsidR="00671245" w:rsidRDefault="00671245">
      <w:pPr>
        <w:jc w:val="center"/>
      </w:pPr>
    </w:p>
    <w:p w:rsidR="00671245" w:rsidRDefault="00671245">
      <w:pPr>
        <w:jc w:val="center"/>
      </w:pPr>
    </w:p>
    <w:p w:rsidR="00671245" w:rsidRDefault="00671245">
      <w:pPr>
        <w:jc w:val="center"/>
      </w:pPr>
    </w:p>
    <w:p w:rsidR="00671245" w:rsidRDefault="00671245">
      <w:pPr>
        <w:jc w:val="center"/>
      </w:pPr>
    </w:p>
    <w:p w:rsidR="00671245" w:rsidRDefault="00671245">
      <w:pPr>
        <w:jc w:val="center"/>
      </w:pPr>
    </w:p>
    <w:p w:rsidR="00671245" w:rsidRDefault="00671245"/>
    <w:p w:rsidR="00671245" w:rsidRDefault="00671245"/>
    <w:p w:rsidR="00671245" w:rsidRDefault="00671245"/>
    <w:p w:rsidR="00671245" w:rsidRDefault="00671245">
      <w:pPr>
        <w:jc w:val="center"/>
      </w:pPr>
    </w:p>
    <w:p w:rsidR="00671245" w:rsidRDefault="00671245">
      <w:pPr>
        <w:jc w:val="center"/>
      </w:pPr>
    </w:p>
    <w:p w:rsidR="00671245" w:rsidRDefault="00671245">
      <w:pPr>
        <w:pStyle w:val="NormalM"/>
        <w:tabs>
          <w:tab w:val="clear" w:pos="1584"/>
          <w:tab w:val="clear" w:pos="1728"/>
        </w:tabs>
        <w:jc w:val="left"/>
      </w:pPr>
    </w:p>
    <w:p w:rsidR="00671245" w:rsidRDefault="00671245">
      <w:pPr>
        <w:pStyle w:val="NormalM"/>
        <w:tabs>
          <w:tab w:val="clear" w:pos="1584"/>
          <w:tab w:val="clear" w:pos="1728"/>
        </w:tabs>
        <w:jc w:val="left"/>
      </w:pPr>
    </w:p>
    <w:p w:rsidR="00671245" w:rsidRDefault="00671245">
      <w:pPr>
        <w:jc w:val="center"/>
      </w:pPr>
    </w:p>
    <w:p w:rsidR="00671245" w:rsidRDefault="00671245">
      <w:pPr>
        <w:jc w:val="center"/>
        <w:rPr>
          <w:rFonts w:ascii="Times New Roman" w:hAnsi="Times New Roman"/>
          <w:b/>
          <w:sz w:val="28"/>
        </w:rPr>
      </w:pPr>
    </w:p>
    <w:p w:rsidR="00671245" w:rsidRDefault="00671245">
      <w:pPr>
        <w:jc w:val="center"/>
        <w:rPr>
          <w:rFonts w:ascii="Times New Roman" w:hAnsi="Times New Roman"/>
          <w:b/>
          <w:sz w:val="28"/>
        </w:rPr>
      </w:pPr>
    </w:p>
    <w:p w:rsidR="00671245" w:rsidRDefault="00671245">
      <w:pPr>
        <w:jc w:val="center"/>
        <w:rPr>
          <w:rFonts w:ascii="Times New Roman" w:hAnsi="Times New Roman"/>
          <w:b/>
          <w:sz w:val="28"/>
        </w:rPr>
      </w:pPr>
    </w:p>
    <w:p w:rsidR="00671245" w:rsidRDefault="00671245">
      <w:pPr>
        <w:jc w:val="center"/>
        <w:rPr>
          <w:rFonts w:ascii="Times New Roman" w:hAnsi="Times New Roman"/>
          <w:b/>
          <w:sz w:val="28"/>
        </w:rPr>
      </w:pPr>
    </w:p>
    <w:tbl>
      <w:tblPr>
        <w:tblW w:w="10206"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1"/>
        <w:gridCol w:w="1134"/>
        <w:gridCol w:w="3118"/>
        <w:gridCol w:w="1701"/>
        <w:gridCol w:w="1701"/>
        <w:gridCol w:w="1701"/>
      </w:tblGrid>
      <w:tr w:rsidR="00671245">
        <w:tblPrEx>
          <w:tblCellMar>
            <w:top w:w="0" w:type="dxa"/>
            <w:bottom w:w="0" w:type="dxa"/>
          </w:tblCellMar>
        </w:tblPrEx>
        <w:tc>
          <w:tcPr>
            <w:tcW w:w="851" w:type="dxa"/>
            <w:tcBorders>
              <w:left w:val="nil"/>
            </w:tcBorders>
          </w:tcPr>
          <w:p w:rsidR="00671245" w:rsidRDefault="00671245">
            <w:pPr>
              <w:jc w:val="center"/>
              <w:rPr>
                <w:sz w:val="18"/>
              </w:rPr>
            </w:pPr>
          </w:p>
          <w:p w:rsidR="00671245" w:rsidRDefault="00671245">
            <w:pPr>
              <w:jc w:val="center"/>
              <w:rPr>
                <w:sz w:val="18"/>
              </w:rPr>
            </w:pPr>
          </w:p>
          <w:p w:rsidR="00671245" w:rsidRDefault="00671245">
            <w:pPr>
              <w:jc w:val="center"/>
              <w:rPr>
                <w:sz w:val="18"/>
              </w:rPr>
            </w:pPr>
            <w:r>
              <w:rPr>
                <w:sz w:val="18"/>
              </w:rPr>
              <w:t>A</w:t>
            </w:r>
          </w:p>
          <w:p w:rsidR="00671245" w:rsidRDefault="00671245">
            <w:pPr>
              <w:jc w:val="center"/>
              <w:rPr>
                <w:sz w:val="18"/>
              </w:rPr>
            </w:pPr>
          </w:p>
          <w:p w:rsidR="00671245" w:rsidRDefault="00671245">
            <w:pPr>
              <w:jc w:val="center"/>
              <w:rPr>
                <w:sz w:val="18"/>
              </w:rPr>
            </w:pPr>
          </w:p>
        </w:tc>
        <w:tc>
          <w:tcPr>
            <w:tcW w:w="1134" w:type="dxa"/>
          </w:tcPr>
          <w:p w:rsidR="00671245" w:rsidRDefault="00671245">
            <w:pPr>
              <w:jc w:val="center"/>
              <w:rPr>
                <w:sz w:val="18"/>
              </w:rPr>
            </w:pPr>
          </w:p>
          <w:p w:rsidR="00671245" w:rsidRDefault="00671245">
            <w:pPr>
              <w:jc w:val="center"/>
              <w:rPr>
                <w:sz w:val="18"/>
              </w:rPr>
            </w:pPr>
          </w:p>
          <w:p w:rsidR="00671245" w:rsidRDefault="00671245">
            <w:pPr>
              <w:jc w:val="center"/>
              <w:rPr>
                <w:sz w:val="18"/>
              </w:rPr>
            </w:pPr>
            <w:r>
              <w:rPr>
                <w:sz w:val="18"/>
              </w:rPr>
              <w:t>08/09/2008</w:t>
            </w:r>
          </w:p>
        </w:tc>
        <w:tc>
          <w:tcPr>
            <w:tcW w:w="3118" w:type="dxa"/>
          </w:tcPr>
          <w:p w:rsidR="00671245" w:rsidRDefault="00671245">
            <w:pPr>
              <w:jc w:val="center"/>
              <w:rPr>
                <w:sz w:val="18"/>
              </w:rPr>
            </w:pPr>
          </w:p>
          <w:p w:rsidR="00671245" w:rsidRDefault="00671245">
            <w:pPr>
              <w:jc w:val="center"/>
              <w:rPr>
                <w:sz w:val="18"/>
              </w:rPr>
            </w:pPr>
            <w:r>
              <w:rPr>
                <w:sz w:val="18"/>
              </w:rPr>
              <w:t>Emission initiale</w:t>
            </w:r>
          </w:p>
          <w:p w:rsidR="00671245" w:rsidRDefault="00671245">
            <w:pPr>
              <w:jc w:val="center"/>
              <w:rPr>
                <w:color w:val="FF0000"/>
                <w:sz w:val="18"/>
              </w:rPr>
            </w:pPr>
          </w:p>
        </w:tc>
        <w:tc>
          <w:tcPr>
            <w:tcW w:w="1701" w:type="dxa"/>
          </w:tcPr>
          <w:p w:rsidR="00671245" w:rsidRDefault="00671245">
            <w:pPr>
              <w:jc w:val="center"/>
            </w:pPr>
            <w:r>
              <w:t>CIMAP</w:t>
            </w:r>
          </w:p>
          <w:p w:rsidR="00671245" w:rsidRDefault="00671245">
            <w:pPr>
              <w:jc w:val="center"/>
            </w:pPr>
          </w:p>
          <w:p w:rsidR="00671245" w:rsidRDefault="00671245">
            <w:pPr>
              <w:jc w:val="center"/>
            </w:pPr>
          </w:p>
          <w:p w:rsidR="00671245" w:rsidRDefault="00671245">
            <w:pPr>
              <w:jc w:val="center"/>
            </w:pPr>
            <w:r>
              <w:t>I. Monnet</w:t>
            </w:r>
          </w:p>
        </w:tc>
        <w:tc>
          <w:tcPr>
            <w:tcW w:w="1701" w:type="dxa"/>
          </w:tcPr>
          <w:p w:rsidR="00671245" w:rsidRDefault="00671245">
            <w:pPr>
              <w:pStyle w:val="NormalM"/>
              <w:tabs>
                <w:tab w:val="clear" w:pos="1584"/>
                <w:tab w:val="clear" w:pos="1728"/>
              </w:tabs>
            </w:pPr>
            <w:r>
              <w:t>PCR</w:t>
            </w:r>
          </w:p>
          <w:p w:rsidR="00671245" w:rsidRDefault="00671245">
            <w:pPr>
              <w:pStyle w:val="NormalM"/>
              <w:tabs>
                <w:tab w:val="clear" w:pos="1584"/>
                <w:tab w:val="clear" w:pos="1728"/>
              </w:tabs>
            </w:pPr>
          </w:p>
          <w:p w:rsidR="00671245" w:rsidRDefault="00671245">
            <w:pPr>
              <w:pStyle w:val="NormalM"/>
              <w:tabs>
                <w:tab w:val="clear" w:pos="1584"/>
                <w:tab w:val="clear" w:pos="1728"/>
              </w:tabs>
            </w:pPr>
          </w:p>
          <w:p w:rsidR="00671245" w:rsidRDefault="00671245">
            <w:pPr>
              <w:pStyle w:val="NormalM"/>
              <w:tabs>
                <w:tab w:val="clear" w:pos="1584"/>
                <w:tab w:val="clear" w:pos="1728"/>
              </w:tabs>
            </w:pPr>
          </w:p>
        </w:tc>
        <w:tc>
          <w:tcPr>
            <w:tcW w:w="1701" w:type="dxa"/>
            <w:tcBorders>
              <w:right w:val="nil"/>
            </w:tcBorders>
          </w:tcPr>
          <w:p w:rsidR="00671245" w:rsidRDefault="00671245">
            <w:pPr>
              <w:jc w:val="center"/>
            </w:pPr>
            <w:r>
              <w:t>Chef du CIMAP</w:t>
            </w:r>
          </w:p>
          <w:p w:rsidR="00671245" w:rsidRDefault="00671245">
            <w:pPr>
              <w:jc w:val="center"/>
            </w:pPr>
          </w:p>
          <w:p w:rsidR="00671245" w:rsidRDefault="00671245">
            <w:pPr>
              <w:jc w:val="center"/>
            </w:pPr>
          </w:p>
          <w:p w:rsidR="00671245" w:rsidRDefault="00671245">
            <w:pPr>
              <w:jc w:val="center"/>
            </w:pPr>
            <w:r>
              <w:t>S. Bouffard</w:t>
            </w:r>
          </w:p>
        </w:tc>
      </w:tr>
      <w:tr w:rsidR="00671245">
        <w:tblPrEx>
          <w:tblCellMar>
            <w:top w:w="0" w:type="dxa"/>
            <w:bottom w:w="0" w:type="dxa"/>
          </w:tblCellMar>
        </w:tblPrEx>
        <w:tc>
          <w:tcPr>
            <w:tcW w:w="851" w:type="dxa"/>
            <w:tcBorders>
              <w:left w:val="nil"/>
            </w:tcBorders>
          </w:tcPr>
          <w:p w:rsidR="00671245" w:rsidRDefault="00671245">
            <w:pPr>
              <w:jc w:val="center"/>
              <w:rPr>
                <w:rFonts w:ascii="Times New Roman" w:hAnsi="Times New Roman"/>
                <w:b/>
              </w:rPr>
            </w:pPr>
            <w:r>
              <w:rPr>
                <w:rFonts w:ascii="Times New Roman" w:hAnsi="Times New Roman"/>
                <w:b/>
              </w:rPr>
              <w:t>indice</w:t>
            </w:r>
          </w:p>
        </w:tc>
        <w:tc>
          <w:tcPr>
            <w:tcW w:w="1134" w:type="dxa"/>
          </w:tcPr>
          <w:p w:rsidR="00671245" w:rsidRDefault="00671245">
            <w:pPr>
              <w:jc w:val="center"/>
              <w:rPr>
                <w:rFonts w:ascii="Times New Roman" w:hAnsi="Times New Roman"/>
                <w:b/>
              </w:rPr>
            </w:pPr>
            <w:r>
              <w:rPr>
                <w:rFonts w:ascii="Times New Roman" w:hAnsi="Times New Roman"/>
                <w:b/>
              </w:rPr>
              <w:t>date</w:t>
            </w:r>
          </w:p>
        </w:tc>
        <w:tc>
          <w:tcPr>
            <w:tcW w:w="3118" w:type="dxa"/>
          </w:tcPr>
          <w:p w:rsidR="00671245" w:rsidRDefault="00671245">
            <w:pPr>
              <w:jc w:val="center"/>
              <w:rPr>
                <w:rFonts w:ascii="Times New Roman" w:hAnsi="Times New Roman"/>
                <w:b/>
              </w:rPr>
            </w:pPr>
            <w:r>
              <w:rPr>
                <w:rFonts w:ascii="Times New Roman" w:hAnsi="Times New Roman"/>
                <w:b/>
              </w:rPr>
              <w:t>nature de la modification</w:t>
            </w:r>
          </w:p>
        </w:tc>
        <w:tc>
          <w:tcPr>
            <w:tcW w:w="1701" w:type="dxa"/>
          </w:tcPr>
          <w:p w:rsidR="00671245" w:rsidRDefault="00671245">
            <w:pPr>
              <w:jc w:val="center"/>
              <w:rPr>
                <w:rFonts w:ascii="Times New Roman" w:hAnsi="Times New Roman"/>
                <w:b/>
              </w:rPr>
            </w:pPr>
            <w:r>
              <w:rPr>
                <w:rFonts w:ascii="Times New Roman" w:hAnsi="Times New Roman"/>
                <w:b/>
              </w:rPr>
              <w:t>rédacteur</w:t>
            </w:r>
          </w:p>
        </w:tc>
        <w:tc>
          <w:tcPr>
            <w:tcW w:w="1701" w:type="dxa"/>
          </w:tcPr>
          <w:p w:rsidR="00671245" w:rsidRDefault="00671245">
            <w:pPr>
              <w:jc w:val="center"/>
              <w:rPr>
                <w:rFonts w:ascii="Times New Roman" w:hAnsi="Times New Roman"/>
                <w:b/>
              </w:rPr>
            </w:pPr>
            <w:r>
              <w:rPr>
                <w:rFonts w:ascii="Times New Roman" w:hAnsi="Times New Roman"/>
                <w:b/>
              </w:rPr>
              <w:t>vérificateur</w:t>
            </w:r>
          </w:p>
        </w:tc>
        <w:tc>
          <w:tcPr>
            <w:tcW w:w="1701" w:type="dxa"/>
            <w:tcBorders>
              <w:right w:val="nil"/>
            </w:tcBorders>
          </w:tcPr>
          <w:p w:rsidR="00671245" w:rsidRDefault="00671245">
            <w:pPr>
              <w:jc w:val="center"/>
              <w:rPr>
                <w:rFonts w:ascii="Times New Roman" w:hAnsi="Times New Roman"/>
                <w:b/>
              </w:rPr>
            </w:pPr>
            <w:r>
              <w:rPr>
                <w:rFonts w:ascii="Times New Roman" w:hAnsi="Times New Roman"/>
                <w:b/>
              </w:rPr>
              <w:t>Approbateur</w:t>
            </w:r>
          </w:p>
        </w:tc>
      </w:tr>
    </w:tbl>
    <w:p w:rsidR="00671245" w:rsidRDefault="00671245" w:rsidP="00502A55">
      <w:pPr>
        <w:pStyle w:val="Titre2"/>
      </w:pPr>
      <w:bookmarkStart w:id="0" w:name="_Toc208722883"/>
      <w:r>
        <w:lastRenderedPageBreak/>
        <w:t>Description des modifications</w:t>
      </w:r>
      <w:bookmarkEnd w:id="0"/>
      <w:r w:rsidR="00502A55">
        <w:t xml:space="preserve"> réalisées</w:t>
      </w:r>
    </w:p>
    <w:p w:rsidR="00671245" w:rsidRDefault="00671245"/>
    <w:p w:rsidR="00671245" w:rsidRPr="00AD04F3" w:rsidRDefault="00671245" w:rsidP="00A4537F">
      <w:pPr>
        <w:pStyle w:val="Corpsdetexte"/>
        <w:spacing w:line="276" w:lineRule="auto"/>
        <w:rPr>
          <w:sz w:val="18"/>
          <w:szCs w:val="18"/>
        </w:rPr>
      </w:pPr>
      <w:r w:rsidRPr="00AD04F3">
        <w:rPr>
          <w:sz w:val="18"/>
          <w:szCs w:val="18"/>
        </w:rPr>
        <w:t xml:space="preserve">Lors de l’utilisation en ligne du diffractomètre </w:t>
      </w:r>
      <w:r w:rsidR="0098035D">
        <w:rPr>
          <w:sz w:val="18"/>
          <w:szCs w:val="18"/>
        </w:rPr>
        <w:t xml:space="preserve">de rayons X, </w:t>
      </w:r>
      <w:r w:rsidRPr="00AD04F3">
        <w:rPr>
          <w:sz w:val="18"/>
          <w:szCs w:val="18"/>
        </w:rPr>
        <w:t>il fau</w:t>
      </w:r>
      <w:r w:rsidR="00502A55" w:rsidRPr="00AD04F3">
        <w:rPr>
          <w:sz w:val="18"/>
          <w:szCs w:val="18"/>
        </w:rPr>
        <w:t>t</w:t>
      </w:r>
      <w:r w:rsidRPr="00AD04F3">
        <w:rPr>
          <w:sz w:val="18"/>
          <w:szCs w:val="18"/>
        </w:rPr>
        <w:t xml:space="preserve"> que les ions d’IRRSUD parviennent jusqu’à l’échantillon. Pour ce faire, une ouverture dans la paroi latérale du diffractomètre </w:t>
      </w:r>
      <w:r w:rsidR="00502A55" w:rsidRPr="00AD04F3">
        <w:rPr>
          <w:sz w:val="18"/>
          <w:szCs w:val="18"/>
        </w:rPr>
        <w:t>a été réalisée</w:t>
      </w:r>
      <w:r w:rsidRPr="00AD04F3">
        <w:rPr>
          <w:sz w:val="18"/>
          <w:szCs w:val="18"/>
        </w:rPr>
        <w:t xml:space="preserve"> pour faire passer le tube guide d’ions et une chambre à vide </w:t>
      </w:r>
      <w:r w:rsidR="00502A55" w:rsidRPr="00AD04F3">
        <w:rPr>
          <w:sz w:val="18"/>
          <w:szCs w:val="18"/>
        </w:rPr>
        <w:t>a été</w:t>
      </w:r>
      <w:r w:rsidRPr="00AD04F3">
        <w:rPr>
          <w:sz w:val="18"/>
          <w:szCs w:val="18"/>
        </w:rPr>
        <w:t xml:space="preserve"> installée à l’intérieur</w:t>
      </w:r>
      <w:r w:rsidR="00502A55" w:rsidRPr="00AD04F3">
        <w:rPr>
          <w:sz w:val="18"/>
          <w:szCs w:val="18"/>
        </w:rPr>
        <w:t xml:space="preserve"> du diffractomètre</w:t>
      </w:r>
      <w:r w:rsidRPr="00AD04F3">
        <w:rPr>
          <w:sz w:val="18"/>
          <w:szCs w:val="18"/>
        </w:rPr>
        <w:t xml:space="preserve">. </w:t>
      </w:r>
    </w:p>
    <w:p w:rsidR="00671245" w:rsidRPr="00AD04F3" w:rsidRDefault="00671245" w:rsidP="00A4537F">
      <w:pPr>
        <w:pStyle w:val="Corpsdetexte"/>
        <w:spacing w:line="276" w:lineRule="auto"/>
        <w:rPr>
          <w:sz w:val="18"/>
          <w:szCs w:val="18"/>
        </w:rPr>
      </w:pPr>
      <w:r w:rsidRPr="00AD04F3">
        <w:rPr>
          <w:sz w:val="18"/>
          <w:szCs w:val="18"/>
        </w:rPr>
        <w:t xml:space="preserve">Une deuxième ouverture </w:t>
      </w:r>
      <w:r w:rsidR="00502A55" w:rsidRPr="00AD04F3">
        <w:rPr>
          <w:sz w:val="18"/>
          <w:szCs w:val="18"/>
        </w:rPr>
        <w:t>a été</w:t>
      </w:r>
      <w:r w:rsidRPr="00AD04F3">
        <w:rPr>
          <w:sz w:val="18"/>
          <w:szCs w:val="18"/>
        </w:rPr>
        <w:t xml:space="preserve"> également pratiquée sur l’autre paroi </w:t>
      </w:r>
      <w:r w:rsidR="0098035D">
        <w:rPr>
          <w:sz w:val="18"/>
          <w:szCs w:val="18"/>
        </w:rPr>
        <w:t xml:space="preserve">latérale </w:t>
      </w:r>
      <w:r w:rsidRPr="00AD04F3">
        <w:rPr>
          <w:sz w:val="18"/>
          <w:szCs w:val="18"/>
        </w:rPr>
        <w:t xml:space="preserve">afin de pouvoir effectuer les opérations d’alignement du diffractomètre. Seules les parois latérales du </w:t>
      </w:r>
      <w:r w:rsidR="00502A55" w:rsidRPr="00AD04F3">
        <w:rPr>
          <w:sz w:val="18"/>
          <w:szCs w:val="18"/>
        </w:rPr>
        <w:t>diffractomètre</w:t>
      </w:r>
      <w:r w:rsidRPr="00AD04F3">
        <w:rPr>
          <w:sz w:val="18"/>
          <w:szCs w:val="18"/>
        </w:rPr>
        <w:t xml:space="preserve"> </w:t>
      </w:r>
      <w:r w:rsidR="0098035D">
        <w:rPr>
          <w:sz w:val="18"/>
          <w:szCs w:val="18"/>
        </w:rPr>
        <w:t>ont été</w:t>
      </w:r>
      <w:r w:rsidRPr="00AD04F3">
        <w:rPr>
          <w:sz w:val="18"/>
          <w:szCs w:val="18"/>
        </w:rPr>
        <w:t xml:space="preserve"> modifiées par rapport à l’appareil livré par le constructeur</w:t>
      </w:r>
      <w:r w:rsidR="0098035D">
        <w:rPr>
          <w:sz w:val="18"/>
          <w:szCs w:val="18"/>
        </w:rPr>
        <w:t xml:space="preserve"> Bruker</w:t>
      </w:r>
      <w:r w:rsidRPr="00AD04F3">
        <w:rPr>
          <w:sz w:val="18"/>
          <w:szCs w:val="18"/>
        </w:rPr>
        <w:t xml:space="preserve">, il n’y </w:t>
      </w:r>
      <w:r w:rsidR="00502A55" w:rsidRPr="00AD04F3">
        <w:rPr>
          <w:sz w:val="18"/>
          <w:szCs w:val="18"/>
        </w:rPr>
        <w:t>a eu aucune modification</w:t>
      </w:r>
      <w:r w:rsidRPr="00AD04F3">
        <w:rPr>
          <w:sz w:val="18"/>
          <w:szCs w:val="18"/>
        </w:rPr>
        <w:t xml:space="preserve"> au niveau de la production ou de la détection des rayons X.</w:t>
      </w:r>
    </w:p>
    <w:p w:rsidR="00671245" w:rsidRPr="00AD04F3" w:rsidRDefault="00671245" w:rsidP="00A4537F">
      <w:pPr>
        <w:spacing w:line="276" w:lineRule="auto"/>
        <w:rPr>
          <w:sz w:val="18"/>
          <w:szCs w:val="18"/>
        </w:rPr>
      </w:pPr>
    </w:p>
    <w:p w:rsidR="00671245" w:rsidRDefault="00671245" w:rsidP="00A4537F">
      <w:pPr>
        <w:pStyle w:val="Corpsdetexte"/>
        <w:spacing w:line="276" w:lineRule="auto"/>
      </w:pPr>
      <w:r w:rsidRPr="00AD04F3">
        <w:rPr>
          <w:sz w:val="18"/>
          <w:szCs w:val="18"/>
        </w:rPr>
        <w:t xml:space="preserve">Etant donné que l’on </w:t>
      </w:r>
      <w:r w:rsidR="00502A55" w:rsidRPr="00AD04F3">
        <w:rPr>
          <w:sz w:val="18"/>
          <w:szCs w:val="18"/>
        </w:rPr>
        <w:t xml:space="preserve">a </w:t>
      </w:r>
      <w:r w:rsidRPr="00AD04F3">
        <w:rPr>
          <w:sz w:val="18"/>
          <w:szCs w:val="18"/>
        </w:rPr>
        <w:t>modifi</w:t>
      </w:r>
      <w:r w:rsidR="00502A55" w:rsidRPr="00AD04F3">
        <w:rPr>
          <w:sz w:val="18"/>
          <w:szCs w:val="18"/>
        </w:rPr>
        <w:t>é</w:t>
      </w:r>
      <w:r w:rsidRPr="00AD04F3">
        <w:rPr>
          <w:sz w:val="18"/>
          <w:szCs w:val="18"/>
        </w:rPr>
        <w:t xml:space="preserve"> le blindage extérieur du diffractomètre, il </w:t>
      </w:r>
      <w:r w:rsidR="005B1431">
        <w:rPr>
          <w:sz w:val="18"/>
          <w:szCs w:val="18"/>
        </w:rPr>
        <w:t>a fallu</w:t>
      </w:r>
      <w:r w:rsidRPr="00AD04F3">
        <w:rPr>
          <w:sz w:val="18"/>
          <w:szCs w:val="18"/>
        </w:rPr>
        <w:t xml:space="preserve"> s’assurer que la protection contre les rayons X est toujours assurée pour les opérateurs. Pour cela, il faut garantir que les trous sont </w:t>
      </w:r>
      <w:r w:rsidR="0098035D">
        <w:rPr>
          <w:sz w:val="18"/>
          <w:szCs w:val="18"/>
        </w:rPr>
        <w:t xml:space="preserve">bien </w:t>
      </w:r>
      <w:r w:rsidRPr="00AD04F3">
        <w:rPr>
          <w:sz w:val="18"/>
          <w:szCs w:val="18"/>
        </w:rPr>
        <w:t xml:space="preserve">obstrués lors de l’utilisation du diffractomètre. </w:t>
      </w:r>
      <w:r w:rsidR="0098035D">
        <w:rPr>
          <w:sz w:val="18"/>
          <w:szCs w:val="18"/>
        </w:rPr>
        <w:t>La Figure 1</w:t>
      </w:r>
      <w:r w:rsidRPr="00AD04F3">
        <w:rPr>
          <w:sz w:val="18"/>
          <w:szCs w:val="18"/>
        </w:rPr>
        <w:t xml:space="preserve"> indique le principe des modifications effectuées, les ouvertures sont obturées respectivement par un obturateur (enlevé uniquement pour l’alignement de la chambre à vide par rapport à la ligne IRRSUD, l’appareil étant alors consigné) </w:t>
      </w:r>
      <w:r w:rsidR="0098035D">
        <w:rPr>
          <w:sz w:val="18"/>
          <w:szCs w:val="18"/>
        </w:rPr>
        <w:t>et</w:t>
      </w:r>
      <w:r w:rsidRPr="00AD04F3">
        <w:rPr>
          <w:sz w:val="18"/>
          <w:szCs w:val="18"/>
        </w:rPr>
        <w:t xml:space="preserve"> par le système tube guide + vanne. Ce dernier est connecté à la ligne IRRSUD lors des expériences en ligne (dans ce cas la vanne peut être ouverte) et reste en place lors des expériences hors ligne (dans ce cas la vanne ne peut être ouverte). </w:t>
      </w:r>
    </w:p>
    <w:p w:rsidR="00671245" w:rsidRDefault="00671245">
      <w:pPr>
        <w:pStyle w:val="Corpsdetexte"/>
        <w:ind w:firstLine="1560"/>
      </w:pPr>
      <w:r>
        <w:rPr>
          <w:noProof/>
        </w:rPr>
        <w:pict>
          <v:shapetype id="_x0000_t202" coordsize="21600,21600" o:spt="202" path="m,l,21600r21600,l21600,xe">
            <v:stroke joinstyle="miter"/>
            <v:path gradientshapeok="t" o:connecttype="rect"/>
          </v:shapetype>
          <v:shape id="_x0000_s2136" type="#_x0000_t202" style="position:absolute;left:0;text-align:left;margin-left:379.3pt;margin-top:13.4pt;width:108pt;height:99pt;z-index:251660800" stroked="f">
            <v:textbox style="mso-next-textbox:#_x0000_s2136">
              <w:txbxContent>
                <w:p w:rsidR="00671245" w:rsidRDefault="00671245">
                  <w:r>
                    <w:t>Ouverture pour l’alignement mécanique du D8, obturé par un obturateur</w:t>
                  </w:r>
                </w:p>
              </w:txbxContent>
            </v:textbox>
          </v:shape>
        </w:pict>
      </w:r>
      <w:r>
        <w:rPr>
          <w:noProof/>
        </w:rPr>
        <w:pict>
          <v:line id="_x0000_s2135" style="position:absolute;left:0;text-align:left;z-index:251659776" from="370.3pt,49.4pt" to="370.3pt,238.4pt">
            <v:stroke endarrow="block"/>
          </v:line>
        </w:pict>
      </w:r>
      <w:r>
        <w:rPr>
          <w:noProof/>
        </w:rPr>
        <w:pict>
          <v:line id="_x0000_s2134" style="position:absolute;left:0;text-align:left;flip:x;z-index:251658752" from="298.3pt,49.4pt" to="370.3pt,67.4pt">
            <v:stroke endarrow="block"/>
          </v:line>
        </w:pict>
      </w:r>
      <w:r>
        <w:rPr>
          <w:noProof/>
        </w:rPr>
        <w:pict>
          <v:line id="_x0000_s2133" style="position:absolute;left:0;text-align:left;z-index:251657728" from="127.3pt,103.4pt" to="127.3pt,238.4pt">
            <v:stroke endarrow="block"/>
          </v:line>
        </w:pict>
      </w:r>
      <w:r>
        <w:rPr>
          <w:noProof/>
        </w:rPr>
        <w:pict>
          <v:line id="_x0000_s2131" style="position:absolute;left:0;text-align:left;flip:y;z-index:251656704" from="127.3pt,94.4pt" to="199.3pt,103.4pt">
            <v:stroke endarrow="block"/>
          </v:line>
        </w:pict>
      </w:r>
      <w:r>
        <w:rPr>
          <w:noProof/>
        </w:rPr>
        <w:pict>
          <v:shape id="_x0000_s2132" type="#_x0000_t202" style="position:absolute;left:0;text-align:left;margin-left:28.3pt;margin-top:58.4pt;width:153pt;height:126pt;z-index:251655680" stroked="f">
            <v:textbox style="mso-next-textbox:#_x0000_s2132">
              <w:txbxContent>
                <w:p w:rsidR="00671245" w:rsidRDefault="00671245">
                  <w:r>
                    <w:t>Ouverture pour le passage du faisceau, obturé par le système tube guide d’ion + vanne (hors-ligne et en-ligne)</w:t>
                  </w:r>
                </w:p>
              </w:txbxContent>
            </v:textbox>
          </v:shape>
        </w:pict>
      </w:r>
      <w:r w:rsidR="00BA1ED0">
        <w:rPr>
          <w:noProof/>
        </w:rPr>
        <w:drawing>
          <wp:inline distT="0" distB="0" distL="0" distR="0">
            <wp:extent cx="4039235" cy="2218690"/>
            <wp:effectExtent l="19050" t="0" r="0" b="0"/>
            <wp:docPr id="1" name="Image 1" descr="image_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D8"/>
                    <pic:cNvPicPr>
                      <a:picLocks noChangeAspect="1" noChangeArrowheads="1"/>
                    </pic:cNvPicPr>
                  </pic:nvPicPr>
                  <pic:blipFill>
                    <a:blip r:embed="rId7" cstate="print"/>
                    <a:srcRect/>
                    <a:stretch>
                      <a:fillRect/>
                    </a:stretch>
                  </pic:blipFill>
                  <pic:spPr bwMode="auto">
                    <a:xfrm>
                      <a:off x="0" y="0"/>
                      <a:ext cx="4039235" cy="2218690"/>
                    </a:xfrm>
                    <a:prstGeom prst="rect">
                      <a:avLst/>
                    </a:prstGeom>
                    <a:noFill/>
                    <a:ln w="9525">
                      <a:noFill/>
                      <a:miter lim="800000"/>
                      <a:headEnd/>
                      <a:tailEnd/>
                    </a:ln>
                  </pic:spPr>
                </pic:pic>
              </a:graphicData>
            </a:graphic>
          </wp:inline>
        </w:drawing>
      </w:r>
    </w:p>
    <w:p w:rsidR="00671245" w:rsidRDefault="00BA1ED0">
      <w:r>
        <w:rPr>
          <w:noProof/>
        </w:rPr>
        <w:drawing>
          <wp:inline distT="0" distB="0" distL="0" distR="0">
            <wp:extent cx="6119495" cy="3909060"/>
            <wp:effectExtent l="19050" t="0" r="0" b="0"/>
            <wp:docPr id="2" name="Image 2" descr="schéma ali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alixb"/>
                    <pic:cNvPicPr>
                      <a:picLocks noChangeAspect="1" noChangeArrowheads="1"/>
                    </pic:cNvPicPr>
                  </pic:nvPicPr>
                  <pic:blipFill>
                    <a:blip r:embed="rId8" cstate="print"/>
                    <a:srcRect/>
                    <a:stretch>
                      <a:fillRect/>
                    </a:stretch>
                  </pic:blipFill>
                  <pic:spPr bwMode="auto">
                    <a:xfrm>
                      <a:off x="0" y="0"/>
                      <a:ext cx="6119495" cy="3909060"/>
                    </a:xfrm>
                    <a:prstGeom prst="rect">
                      <a:avLst/>
                    </a:prstGeom>
                    <a:noFill/>
                    <a:ln w="9525">
                      <a:noFill/>
                      <a:miter lim="800000"/>
                      <a:headEnd/>
                      <a:tailEnd/>
                    </a:ln>
                  </pic:spPr>
                </pic:pic>
              </a:graphicData>
            </a:graphic>
          </wp:inline>
        </w:drawing>
      </w:r>
    </w:p>
    <w:p w:rsidR="00671245" w:rsidRDefault="00671245">
      <w:pPr>
        <w:pStyle w:val="Corpsdetexte"/>
        <w:jc w:val="center"/>
        <w:rPr>
          <w:b/>
          <w:bCs/>
          <w:i/>
          <w:iCs/>
        </w:rPr>
      </w:pPr>
      <w:r>
        <w:rPr>
          <w:b/>
          <w:bCs/>
          <w:i/>
          <w:iCs/>
        </w:rPr>
        <w:t>Figure </w:t>
      </w:r>
      <w:r w:rsidR="00AD04F3">
        <w:rPr>
          <w:b/>
          <w:bCs/>
          <w:i/>
          <w:iCs/>
        </w:rPr>
        <w:t>1</w:t>
      </w:r>
      <w:r>
        <w:rPr>
          <w:b/>
          <w:bCs/>
          <w:i/>
          <w:iCs/>
        </w:rPr>
        <w:t> : Schéma de principe de la gestion des ouvertures des panneau</w:t>
      </w:r>
      <w:r w:rsidR="005B1431">
        <w:rPr>
          <w:b/>
          <w:bCs/>
          <w:i/>
          <w:iCs/>
        </w:rPr>
        <w:t>x</w:t>
      </w:r>
      <w:r>
        <w:rPr>
          <w:b/>
          <w:bCs/>
          <w:i/>
          <w:iCs/>
        </w:rPr>
        <w:t xml:space="preserve"> latéraux du D8</w:t>
      </w:r>
    </w:p>
    <w:p w:rsidR="00671245" w:rsidRDefault="00671245">
      <w:pPr>
        <w:pStyle w:val="Corpsdetexte"/>
      </w:pPr>
    </w:p>
    <w:p w:rsidR="00671245" w:rsidRPr="00A4537F" w:rsidRDefault="00A4537F" w:rsidP="00A4537F">
      <w:pPr>
        <w:pStyle w:val="Corpsdetexte"/>
        <w:spacing w:line="276" w:lineRule="auto"/>
        <w:rPr>
          <w:sz w:val="18"/>
          <w:szCs w:val="18"/>
        </w:rPr>
      </w:pPr>
      <w:r>
        <w:rPr>
          <w:sz w:val="18"/>
          <w:szCs w:val="18"/>
        </w:rPr>
        <w:t>U</w:t>
      </w:r>
      <w:r w:rsidRPr="00A4537F">
        <w:rPr>
          <w:sz w:val="18"/>
          <w:szCs w:val="18"/>
        </w:rPr>
        <w:t>ne information</w:t>
      </w:r>
      <w:r w:rsidR="005B1431" w:rsidRPr="00A4537F">
        <w:rPr>
          <w:sz w:val="18"/>
          <w:szCs w:val="18"/>
        </w:rPr>
        <w:t xml:space="preserve"> </w:t>
      </w:r>
      <w:r>
        <w:rPr>
          <w:sz w:val="18"/>
          <w:szCs w:val="18"/>
        </w:rPr>
        <w:t xml:space="preserve">a </w:t>
      </w:r>
      <w:r w:rsidR="005B1431" w:rsidRPr="00A4537F">
        <w:rPr>
          <w:sz w:val="18"/>
          <w:szCs w:val="18"/>
        </w:rPr>
        <w:t>été</w:t>
      </w:r>
      <w:r w:rsidR="00671245" w:rsidRPr="00A4537F">
        <w:rPr>
          <w:sz w:val="18"/>
          <w:szCs w:val="18"/>
        </w:rPr>
        <w:t xml:space="preserve"> rajouté</w:t>
      </w:r>
      <w:r>
        <w:rPr>
          <w:sz w:val="18"/>
          <w:szCs w:val="18"/>
        </w:rPr>
        <w:t>e</w:t>
      </w:r>
      <w:r w:rsidR="00671245" w:rsidRPr="00A4537F">
        <w:rPr>
          <w:sz w:val="18"/>
          <w:szCs w:val="18"/>
        </w:rPr>
        <w:t xml:space="preserve"> au circuit de sécurité de l’appareil concernant la fermeture des ouvertures pratiquées. Comme indiqué </w:t>
      </w:r>
      <w:r w:rsidR="00AD04F3" w:rsidRPr="00A4537F">
        <w:rPr>
          <w:sz w:val="18"/>
          <w:szCs w:val="18"/>
        </w:rPr>
        <w:t>Figure 1</w:t>
      </w:r>
      <w:r w:rsidR="00671245" w:rsidRPr="00A4537F">
        <w:rPr>
          <w:sz w:val="18"/>
          <w:szCs w:val="18"/>
        </w:rPr>
        <w:t xml:space="preserve">, deux switchs par ouverture assurent la sécurité, chacun d’eux </w:t>
      </w:r>
      <w:r w:rsidR="005B1431" w:rsidRPr="00A4537F">
        <w:rPr>
          <w:sz w:val="18"/>
          <w:szCs w:val="18"/>
        </w:rPr>
        <w:t>est</w:t>
      </w:r>
      <w:r w:rsidR="00671245" w:rsidRPr="00A4537F">
        <w:rPr>
          <w:sz w:val="18"/>
          <w:szCs w:val="18"/>
        </w:rPr>
        <w:t xml:space="preserve"> en série sur un des circuits de sécurité indépendants du diffractomètre.</w:t>
      </w:r>
    </w:p>
    <w:p w:rsidR="00671245" w:rsidRPr="00A4537F" w:rsidRDefault="00671245" w:rsidP="00A4537F">
      <w:pPr>
        <w:pStyle w:val="Corpsdetexte"/>
        <w:spacing w:line="276" w:lineRule="auto"/>
        <w:rPr>
          <w:sz w:val="18"/>
          <w:szCs w:val="18"/>
        </w:rPr>
      </w:pPr>
    </w:p>
    <w:p w:rsidR="00671245" w:rsidRPr="00A4537F" w:rsidRDefault="00671245" w:rsidP="00A4537F">
      <w:pPr>
        <w:pStyle w:val="Corpsdetexte"/>
        <w:spacing w:line="276" w:lineRule="auto"/>
        <w:rPr>
          <w:sz w:val="18"/>
          <w:szCs w:val="18"/>
        </w:rPr>
      </w:pPr>
      <w:r w:rsidRPr="00A4537F">
        <w:rPr>
          <w:sz w:val="18"/>
          <w:szCs w:val="18"/>
        </w:rPr>
        <w:t xml:space="preserve">La vanne </w:t>
      </w:r>
      <w:r w:rsidR="005B1431" w:rsidRPr="00A4537F">
        <w:rPr>
          <w:sz w:val="18"/>
          <w:szCs w:val="18"/>
        </w:rPr>
        <w:t>est</w:t>
      </w:r>
      <w:r w:rsidRPr="00A4537F">
        <w:rPr>
          <w:sz w:val="18"/>
          <w:szCs w:val="18"/>
        </w:rPr>
        <w:t xml:space="preserve"> commandée par un automate de vide. Elle ne p</w:t>
      </w:r>
      <w:r w:rsidR="005B1431" w:rsidRPr="00A4537F">
        <w:rPr>
          <w:sz w:val="18"/>
          <w:szCs w:val="18"/>
        </w:rPr>
        <w:t>eut</w:t>
      </w:r>
      <w:r w:rsidRPr="00A4537F">
        <w:rPr>
          <w:sz w:val="18"/>
          <w:szCs w:val="18"/>
        </w:rPr>
        <w:t xml:space="preserve"> être ouverte que si le vide est bon de chaque côté de la vanne. La vanne ne p</w:t>
      </w:r>
      <w:r w:rsidR="005B1431" w:rsidRPr="00A4537F">
        <w:rPr>
          <w:sz w:val="18"/>
          <w:szCs w:val="18"/>
        </w:rPr>
        <w:t>eut</w:t>
      </w:r>
      <w:r w:rsidRPr="00A4537F">
        <w:rPr>
          <w:sz w:val="18"/>
          <w:szCs w:val="18"/>
        </w:rPr>
        <w:t xml:space="preserve"> donc être ouverte que si le </w:t>
      </w:r>
      <w:r w:rsidR="005B1431" w:rsidRPr="00A4537F">
        <w:rPr>
          <w:sz w:val="18"/>
          <w:szCs w:val="18"/>
        </w:rPr>
        <w:t>diffractomètre</w:t>
      </w:r>
      <w:r w:rsidRPr="00A4537F">
        <w:rPr>
          <w:sz w:val="18"/>
          <w:szCs w:val="18"/>
        </w:rPr>
        <w:t xml:space="preserve"> est relié à la ligne IRRSUD. Dans ce cas, les opérateurs sont protégés des rayons X par la ligne d’irradiation IRRSUD. L’obturateur </w:t>
      </w:r>
      <w:r w:rsidR="005B1431" w:rsidRPr="00A4537F">
        <w:rPr>
          <w:sz w:val="18"/>
          <w:szCs w:val="18"/>
        </w:rPr>
        <w:t>est</w:t>
      </w:r>
      <w:r w:rsidRPr="00A4537F">
        <w:rPr>
          <w:sz w:val="18"/>
          <w:szCs w:val="18"/>
        </w:rPr>
        <w:t xml:space="preserve"> composé d’au moins 2mm de Plomb afin d’arrêter le faisceau X. En ce qui concerne la vanne, cette dernière ne pouvant recevoir le faisceau direct, son épaisseur (quelques millimètres) est suffisante pour assurer un débit de dose compatible avec le classement de la zone. Cependant, l’estimation du flux de rayons X pouvant être reçu par la vanne dépend de la position du générateur X et du matériau étudié, nous avons choisi de rajouter autour de cette vanne 2 mm de plomb, épaisseur suffisante pour arrêter le faisceau direct (épaisseur de plomb des panneaux latéraux fournis par Bruker). Le passage en-ligne / hors-ligne du faisceau est gérée selon la procédure CIMAP/QSE/IM-008 qui comprend en outre un contrôle par le SPR pour la validation des protections biologiques. </w:t>
      </w:r>
    </w:p>
    <w:p w:rsidR="00671245" w:rsidRDefault="00671245"/>
    <w:p w:rsidR="00671245" w:rsidRDefault="00671245" w:rsidP="00502A55">
      <w:pPr>
        <w:pStyle w:val="Titre2"/>
      </w:pPr>
      <w:bookmarkStart w:id="1" w:name="_Toc208722884"/>
      <w:r>
        <w:t>Prises en compte de</w:t>
      </w:r>
      <w:r w:rsidR="00AD04F3">
        <w:t>s</w:t>
      </w:r>
      <w:r>
        <w:t xml:space="preserve"> modifications dans le circuit de sécurité</w:t>
      </w:r>
      <w:bookmarkEnd w:id="1"/>
    </w:p>
    <w:p w:rsidR="00671245" w:rsidRDefault="00671245"/>
    <w:p w:rsidR="00671245" w:rsidRPr="00A4537F" w:rsidRDefault="00671245" w:rsidP="00A4537F">
      <w:pPr>
        <w:pStyle w:val="Corpsdetexte"/>
        <w:spacing w:line="276" w:lineRule="auto"/>
        <w:rPr>
          <w:sz w:val="18"/>
          <w:szCs w:val="18"/>
        </w:rPr>
      </w:pPr>
      <w:r w:rsidRPr="00A4537F">
        <w:rPr>
          <w:sz w:val="18"/>
          <w:szCs w:val="18"/>
        </w:rPr>
        <w:t xml:space="preserve">La vanne Obturateur </w:t>
      </w:r>
      <w:r w:rsidR="005B1431" w:rsidRPr="00A4537F">
        <w:rPr>
          <w:sz w:val="18"/>
          <w:szCs w:val="18"/>
        </w:rPr>
        <w:t>est</w:t>
      </w:r>
      <w:r w:rsidRPr="00A4537F">
        <w:rPr>
          <w:sz w:val="18"/>
          <w:szCs w:val="18"/>
        </w:rPr>
        <w:t xml:space="preserve"> partie intégrante du </w:t>
      </w:r>
      <w:r w:rsidR="00A4537F">
        <w:rPr>
          <w:sz w:val="18"/>
          <w:szCs w:val="18"/>
        </w:rPr>
        <w:t>d</w:t>
      </w:r>
      <w:r w:rsidRPr="00A4537F">
        <w:rPr>
          <w:sz w:val="18"/>
          <w:szCs w:val="18"/>
        </w:rPr>
        <w:t xml:space="preserve">iffractomètre et </w:t>
      </w:r>
      <w:r w:rsidR="005B1431" w:rsidRPr="00A4537F">
        <w:rPr>
          <w:sz w:val="18"/>
          <w:szCs w:val="18"/>
        </w:rPr>
        <w:t xml:space="preserve">est </w:t>
      </w:r>
      <w:r w:rsidRPr="00A4537F">
        <w:rPr>
          <w:sz w:val="18"/>
          <w:szCs w:val="18"/>
        </w:rPr>
        <w:t xml:space="preserve">intégrée directement dans la chaîne de Sécurité de l’appareil </w:t>
      </w:r>
      <w:r w:rsidR="005B1431" w:rsidRPr="00A4537F">
        <w:rPr>
          <w:sz w:val="18"/>
          <w:szCs w:val="18"/>
        </w:rPr>
        <w:t>EN</w:t>
      </w:r>
      <w:r w:rsidRPr="00A4537F">
        <w:rPr>
          <w:sz w:val="18"/>
          <w:szCs w:val="18"/>
        </w:rPr>
        <w:t xml:space="preserve"> ou </w:t>
      </w:r>
      <w:r w:rsidR="005B1431" w:rsidRPr="00A4537F">
        <w:rPr>
          <w:sz w:val="18"/>
          <w:szCs w:val="18"/>
        </w:rPr>
        <w:t>HORS</w:t>
      </w:r>
      <w:r w:rsidRPr="00A4537F">
        <w:rPr>
          <w:sz w:val="18"/>
          <w:szCs w:val="18"/>
        </w:rPr>
        <w:t xml:space="preserve"> ligne. Elle </w:t>
      </w:r>
      <w:r w:rsidR="005B1431" w:rsidRPr="00A4537F">
        <w:rPr>
          <w:sz w:val="18"/>
          <w:szCs w:val="18"/>
        </w:rPr>
        <w:t>est</w:t>
      </w:r>
      <w:r w:rsidRPr="00A4537F">
        <w:rPr>
          <w:sz w:val="18"/>
          <w:szCs w:val="18"/>
        </w:rPr>
        <w:t xml:space="preserve"> contrôlée par deux switchs indissociables de la chaîne de sécurité du </w:t>
      </w:r>
      <w:r w:rsidR="00A4537F">
        <w:rPr>
          <w:sz w:val="18"/>
          <w:szCs w:val="18"/>
        </w:rPr>
        <w:t>d</w:t>
      </w:r>
      <w:r w:rsidRPr="00A4537F">
        <w:rPr>
          <w:sz w:val="18"/>
          <w:szCs w:val="18"/>
        </w:rPr>
        <w:t>iffractomètre. Sa présence est indispensable pour la mise en service et l’exploitation de l’appareil, que ce soit pour les mesures en ligne ou pour les mesures hors faisceau.</w:t>
      </w:r>
    </w:p>
    <w:p w:rsidR="00671245" w:rsidRPr="00A4537F" w:rsidRDefault="00671245" w:rsidP="00A4537F">
      <w:pPr>
        <w:pStyle w:val="Corpsdetexte"/>
        <w:spacing w:line="276" w:lineRule="auto"/>
        <w:rPr>
          <w:sz w:val="18"/>
          <w:szCs w:val="18"/>
        </w:rPr>
      </w:pPr>
      <w:r w:rsidRPr="00A4537F">
        <w:rPr>
          <w:sz w:val="18"/>
          <w:szCs w:val="18"/>
        </w:rPr>
        <w:t xml:space="preserve">Son ouverture est contrôlée par un automate de vide, qui s’assure que le vide est bon de chaque côté. Les circuits de sécurité du </w:t>
      </w:r>
      <w:r w:rsidR="00A4537F">
        <w:rPr>
          <w:sz w:val="18"/>
          <w:szCs w:val="18"/>
        </w:rPr>
        <w:t xml:space="preserve">diffractomètre </w:t>
      </w:r>
      <w:r w:rsidRPr="00A4537F">
        <w:rPr>
          <w:sz w:val="18"/>
          <w:szCs w:val="18"/>
        </w:rPr>
        <w:t xml:space="preserve">D8 sont représentés </w:t>
      </w:r>
      <w:r w:rsidR="00DB6C64" w:rsidRPr="00A4537F">
        <w:rPr>
          <w:sz w:val="18"/>
          <w:szCs w:val="18"/>
        </w:rPr>
        <w:t>F</w:t>
      </w:r>
      <w:r w:rsidRPr="00A4537F">
        <w:rPr>
          <w:sz w:val="18"/>
          <w:szCs w:val="18"/>
        </w:rPr>
        <w:t xml:space="preserve">igure </w:t>
      </w:r>
      <w:r w:rsidR="00DB6C64" w:rsidRPr="00A4537F">
        <w:rPr>
          <w:sz w:val="18"/>
          <w:szCs w:val="18"/>
        </w:rPr>
        <w:t>2</w:t>
      </w:r>
      <w:r w:rsidRPr="00A4537F">
        <w:rPr>
          <w:sz w:val="18"/>
          <w:szCs w:val="18"/>
        </w:rPr>
        <w:t>.</w:t>
      </w:r>
    </w:p>
    <w:p w:rsidR="00671245" w:rsidRPr="00A4537F" w:rsidRDefault="00671245" w:rsidP="00A4537F">
      <w:pPr>
        <w:pStyle w:val="Corpsdetexte"/>
        <w:spacing w:line="276" w:lineRule="auto"/>
        <w:rPr>
          <w:sz w:val="18"/>
          <w:szCs w:val="18"/>
        </w:rPr>
      </w:pPr>
      <w:r w:rsidRPr="00A4537F">
        <w:rPr>
          <w:sz w:val="18"/>
          <w:szCs w:val="18"/>
        </w:rPr>
        <w:t>La position de l’obturateur d’alignement est contrôlé</w:t>
      </w:r>
      <w:r w:rsidR="00376C6D" w:rsidRPr="00A4537F">
        <w:rPr>
          <w:sz w:val="18"/>
          <w:szCs w:val="18"/>
        </w:rPr>
        <w:t>e</w:t>
      </w:r>
      <w:r w:rsidRPr="00A4537F">
        <w:rPr>
          <w:sz w:val="18"/>
          <w:szCs w:val="18"/>
        </w:rPr>
        <w:t xml:space="preserve"> également par deux switchs indissociables de la chaîne de sécurité du </w:t>
      </w:r>
      <w:r w:rsidR="00A4537F" w:rsidRPr="00A4537F">
        <w:rPr>
          <w:sz w:val="18"/>
          <w:szCs w:val="18"/>
        </w:rPr>
        <w:t>diffractomètre</w:t>
      </w:r>
      <w:r w:rsidRPr="00A4537F">
        <w:rPr>
          <w:sz w:val="18"/>
          <w:szCs w:val="18"/>
        </w:rPr>
        <w:t>.</w:t>
      </w:r>
    </w:p>
    <w:p w:rsidR="00671245" w:rsidRPr="00A4537F" w:rsidRDefault="00671245" w:rsidP="00A4537F">
      <w:pPr>
        <w:pStyle w:val="Corpsdetexte"/>
        <w:spacing w:line="276" w:lineRule="auto"/>
        <w:rPr>
          <w:sz w:val="18"/>
          <w:szCs w:val="18"/>
        </w:rPr>
      </w:pPr>
      <w:r w:rsidRPr="00A4537F">
        <w:rPr>
          <w:sz w:val="18"/>
          <w:szCs w:val="18"/>
        </w:rPr>
        <w:t xml:space="preserve">Les modifications de ces circuits de sécurité pour prendre en compte les ouvertures des panneaux latéraux d’IRRSUD sont indiquées sur la </w:t>
      </w:r>
      <w:r w:rsidR="00DB6C64" w:rsidRPr="00A4537F">
        <w:rPr>
          <w:sz w:val="18"/>
          <w:szCs w:val="18"/>
        </w:rPr>
        <w:t>F</w:t>
      </w:r>
      <w:r w:rsidRPr="00A4537F">
        <w:rPr>
          <w:sz w:val="18"/>
          <w:szCs w:val="18"/>
        </w:rPr>
        <w:t>igure </w:t>
      </w:r>
      <w:r w:rsidR="00DB6C64" w:rsidRPr="00A4537F">
        <w:rPr>
          <w:sz w:val="18"/>
          <w:szCs w:val="18"/>
        </w:rPr>
        <w:t>3</w:t>
      </w:r>
      <w:r w:rsidRPr="00A4537F">
        <w:rPr>
          <w:sz w:val="18"/>
          <w:szCs w:val="18"/>
        </w:rPr>
        <w:t>.</w:t>
      </w:r>
    </w:p>
    <w:p w:rsidR="00DB6C64" w:rsidRDefault="00DB6C64">
      <w:pPr>
        <w:pStyle w:val="Corpsdetexte"/>
      </w:pPr>
    </w:p>
    <w:p w:rsidR="00671245" w:rsidRDefault="00BA1ED0">
      <w:pPr>
        <w:jc w:val="both"/>
        <w:rPr>
          <w:i/>
        </w:rPr>
      </w:pPr>
      <w:r>
        <w:rPr>
          <w:i/>
          <w:noProof/>
        </w:rPr>
        <w:drawing>
          <wp:inline distT="0" distB="0" distL="0" distR="0">
            <wp:extent cx="6119495" cy="3938905"/>
            <wp:effectExtent l="19050" t="0" r="0" b="0"/>
            <wp:docPr id="3" name="Image 3" descr="secu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te"/>
                    <pic:cNvPicPr>
                      <a:picLocks noChangeAspect="1" noChangeArrowheads="1"/>
                    </pic:cNvPicPr>
                  </pic:nvPicPr>
                  <pic:blipFill>
                    <a:blip r:embed="rId9" cstate="print"/>
                    <a:srcRect/>
                    <a:stretch>
                      <a:fillRect/>
                    </a:stretch>
                  </pic:blipFill>
                  <pic:spPr bwMode="auto">
                    <a:xfrm>
                      <a:off x="0" y="0"/>
                      <a:ext cx="6119495" cy="3938905"/>
                    </a:xfrm>
                    <a:prstGeom prst="rect">
                      <a:avLst/>
                    </a:prstGeom>
                    <a:noFill/>
                    <a:ln w="9525">
                      <a:noFill/>
                      <a:miter lim="800000"/>
                      <a:headEnd/>
                      <a:tailEnd/>
                    </a:ln>
                  </pic:spPr>
                </pic:pic>
              </a:graphicData>
            </a:graphic>
          </wp:inline>
        </w:drawing>
      </w:r>
    </w:p>
    <w:p w:rsidR="00671245" w:rsidRDefault="00671245">
      <w:pPr>
        <w:rPr>
          <w:i/>
        </w:rPr>
      </w:pPr>
    </w:p>
    <w:p w:rsidR="00671245" w:rsidRDefault="00671245">
      <w:pPr>
        <w:jc w:val="center"/>
        <w:rPr>
          <w:b/>
          <w:bCs/>
          <w:i/>
        </w:rPr>
      </w:pPr>
      <w:r>
        <w:rPr>
          <w:b/>
          <w:bCs/>
          <w:i/>
        </w:rPr>
        <w:t xml:space="preserve">Figure </w:t>
      </w:r>
      <w:r w:rsidR="00DB6C64">
        <w:rPr>
          <w:b/>
          <w:bCs/>
          <w:i/>
        </w:rPr>
        <w:t>2</w:t>
      </w:r>
      <w:r>
        <w:rPr>
          <w:b/>
          <w:bCs/>
          <w:i/>
        </w:rPr>
        <w:t> : Circuits de sécurités du D8</w:t>
      </w:r>
    </w:p>
    <w:p w:rsidR="00671245" w:rsidRDefault="00BA1ED0" w:rsidP="0098035D">
      <w:pPr>
        <w:ind w:left="-284" w:right="-284"/>
        <w:rPr>
          <w:i/>
        </w:rPr>
      </w:pPr>
      <w:r>
        <w:rPr>
          <w:i/>
          <w:noProof/>
        </w:rPr>
        <w:lastRenderedPageBreak/>
        <w:drawing>
          <wp:inline distT="0" distB="0" distL="0" distR="0">
            <wp:extent cx="6442710" cy="4387215"/>
            <wp:effectExtent l="0" t="0" r="0" b="0"/>
            <wp:docPr id="4" name="Image 4" descr="Gestion Sécurité Alix - 01 - Folio insé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stion Sécurité Alix - 01 - Folio inséré"/>
                    <pic:cNvPicPr>
                      <a:picLocks noChangeAspect="1" noChangeArrowheads="1"/>
                    </pic:cNvPicPr>
                  </pic:nvPicPr>
                  <pic:blipFill>
                    <a:blip r:embed="rId10" cstate="print"/>
                    <a:srcRect l="6238" t="20164" r="8801" b="10782"/>
                    <a:stretch>
                      <a:fillRect/>
                    </a:stretch>
                  </pic:blipFill>
                  <pic:spPr bwMode="auto">
                    <a:xfrm>
                      <a:off x="0" y="0"/>
                      <a:ext cx="6442710" cy="4387215"/>
                    </a:xfrm>
                    <a:prstGeom prst="rect">
                      <a:avLst/>
                    </a:prstGeom>
                    <a:noFill/>
                    <a:ln w="9525">
                      <a:noFill/>
                      <a:miter lim="800000"/>
                      <a:headEnd/>
                      <a:tailEnd/>
                    </a:ln>
                  </pic:spPr>
                </pic:pic>
              </a:graphicData>
            </a:graphic>
          </wp:inline>
        </w:drawing>
      </w:r>
    </w:p>
    <w:p w:rsidR="00671245" w:rsidRDefault="00671245">
      <w:pPr>
        <w:jc w:val="center"/>
        <w:rPr>
          <w:b/>
          <w:bCs/>
          <w:i/>
          <w:iCs/>
        </w:rPr>
      </w:pPr>
      <w:r>
        <w:rPr>
          <w:b/>
          <w:bCs/>
          <w:i/>
          <w:iCs/>
        </w:rPr>
        <w:t xml:space="preserve">Figure </w:t>
      </w:r>
      <w:r w:rsidR="00DB6C64">
        <w:rPr>
          <w:b/>
          <w:bCs/>
          <w:i/>
          <w:iCs/>
        </w:rPr>
        <w:t>3</w:t>
      </w:r>
      <w:r>
        <w:rPr>
          <w:b/>
          <w:bCs/>
          <w:i/>
          <w:iCs/>
        </w:rPr>
        <w:t xml:space="preserve"> : Modifications apportées aux circuits de sécurités du D8. </w:t>
      </w:r>
    </w:p>
    <w:p w:rsidR="00AD04F3" w:rsidRDefault="00AD04F3">
      <w:pPr>
        <w:jc w:val="center"/>
        <w:rPr>
          <w:b/>
          <w:bCs/>
          <w:i/>
          <w:iCs/>
        </w:rPr>
      </w:pPr>
    </w:p>
    <w:p w:rsidR="00671245" w:rsidRDefault="00671245" w:rsidP="00502A55">
      <w:pPr>
        <w:pStyle w:val="Titre2"/>
      </w:pPr>
      <w:bookmarkStart w:id="2" w:name="_Toc208722885"/>
      <w:r>
        <w:t>Mesures prises lors de la première mise en fonctionnement.</w:t>
      </w:r>
      <w:bookmarkEnd w:id="2"/>
    </w:p>
    <w:p w:rsidR="00671245" w:rsidRDefault="00671245"/>
    <w:p w:rsidR="00671245" w:rsidRDefault="00671245"/>
    <w:p w:rsidR="00671245" w:rsidRPr="00A4537F" w:rsidRDefault="00671245" w:rsidP="00A4537F">
      <w:pPr>
        <w:pStyle w:val="Corpsdetexte"/>
        <w:spacing w:line="276" w:lineRule="auto"/>
        <w:rPr>
          <w:sz w:val="18"/>
          <w:szCs w:val="18"/>
        </w:rPr>
      </w:pPr>
      <w:r w:rsidRPr="00A4537F">
        <w:rPr>
          <w:sz w:val="18"/>
          <w:szCs w:val="18"/>
        </w:rPr>
        <w:t xml:space="preserve">Les modifications </w:t>
      </w:r>
      <w:r w:rsidR="005B1431" w:rsidRPr="00A4537F">
        <w:rPr>
          <w:sz w:val="18"/>
          <w:szCs w:val="18"/>
        </w:rPr>
        <w:t>ont été</w:t>
      </w:r>
      <w:r w:rsidRPr="00A4537F">
        <w:rPr>
          <w:sz w:val="18"/>
          <w:szCs w:val="18"/>
        </w:rPr>
        <w:t xml:space="preserve"> effectuées sur l’appareil après </w:t>
      </w:r>
      <w:r w:rsidR="005B1431" w:rsidRPr="00A4537F">
        <w:rPr>
          <w:sz w:val="18"/>
          <w:szCs w:val="18"/>
        </w:rPr>
        <w:t>l’</w:t>
      </w:r>
      <w:r w:rsidRPr="00A4537F">
        <w:rPr>
          <w:sz w:val="18"/>
          <w:szCs w:val="18"/>
        </w:rPr>
        <w:t>avis favorable de l’ASN</w:t>
      </w:r>
      <w:r w:rsidR="002822C9">
        <w:rPr>
          <w:sz w:val="18"/>
          <w:szCs w:val="18"/>
        </w:rPr>
        <w:t xml:space="preserve"> (</w:t>
      </w:r>
      <w:r w:rsidR="002822C9" w:rsidRPr="00A4537F">
        <w:rPr>
          <w:sz w:val="18"/>
          <w:szCs w:val="18"/>
        </w:rPr>
        <w:t>Lettre DIR/ASQ/2010.016</w:t>
      </w:r>
      <w:r w:rsidR="002822C9">
        <w:rPr>
          <w:sz w:val="18"/>
          <w:szCs w:val="18"/>
        </w:rPr>
        <w:t>)</w:t>
      </w:r>
      <w:r w:rsidRPr="00A4537F">
        <w:rPr>
          <w:sz w:val="18"/>
          <w:szCs w:val="18"/>
        </w:rPr>
        <w:t xml:space="preserve">. L’appareil </w:t>
      </w:r>
      <w:r w:rsidR="005B1431" w:rsidRPr="00A4537F">
        <w:rPr>
          <w:sz w:val="18"/>
          <w:szCs w:val="18"/>
        </w:rPr>
        <w:t>a été</w:t>
      </w:r>
      <w:r w:rsidRPr="00A4537F">
        <w:rPr>
          <w:sz w:val="18"/>
          <w:szCs w:val="18"/>
        </w:rPr>
        <w:t xml:space="preserve"> consigné au moment des modifications (clés permettant le démarrage des rayons X chez le </w:t>
      </w:r>
      <w:r w:rsidR="005B1431" w:rsidRPr="00A4537F">
        <w:rPr>
          <w:sz w:val="18"/>
          <w:szCs w:val="18"/>
        </w:rPr>
        <w:t>responsable d’équipement</w:t>
      </w:r>
      <w:r w:rsidRPr="00A4537F">
        <w:rPr>
          <w:sz w:val="18"/>
          <w:szCs w:val="18"/>
        </w:rPr>
        <w:t>), il ne pou</w:t>
      </w:r>
      <w:r w:rsidR="005B1431" w:rsidRPr="00A4537F">
        <w:rPr>
          <w:sz w:val="18"/>
          <w:szCs w:val="18"/>
        </w:rPr>
        <w:t>vait</w:t>
      </w:r>
      <w:r w:rsidRPr="00A4537F">
        <w:rPr>
          <w:sz w:val="18"/>
          <w:szCs w:val="18"/>
        </w:rPr>
        <w:t xml:space="preserve"> plus être utilisé ni </w:t>
      </w:r>
      <w:r w:rsidR="002822C9">
        <w:rPr>
          <w:sz w:val="18"/>
          <w:szCs w:val="18"/>
        </w:rPr>
        <w:t xml:space="preserve">en </w:t>
      </w:r>
      <w:r w:rsidRPr="00A4537F">
        <w:rPr>
          <w:sz w:val="18"/>
          <w:szCs w:val="18"/>
        </w:rPr>
        <w:t xml:space="preserve">ligne ni en position </w:t>
      </w:r>
      <w:r w:rsidR="002822C9">
        <w:rPr>
          <w:sz w:val="18"/>
          <w:szCs w:val="18"/>
        </w:rPr>
        <w:t>hors</w:t>
      </w:r>
      <w:r w:rsidRPr="00A4537F">
        <w:rPr>
          <w:sz w:val="18"/>
          <w:szCs w:val="18"/>
        </w:rPr>
        <w:t xml:space="preserve"> faisceau.</w:t>
      </w:r>
    </w:p>
    <w:p w:rsidR="00671245" w:rsidRPr="00A4537F" w:rsidRDefault="00671245" w:rsidP="00A4537F">
      <w:pPr>
        <w:pStyle w:val="Corpsdetexte"/>
        <w:spacing w:line="276" w:lineRule="auto"/>
        <w:rPr>
          <w:sz w:val="18"/>
          <w:szCs w:val="18"/>
        </w:rPr>
      </w:pPr>
      <w:r w:rsidRPr="00A4537F">
        <w:rPr>
          <w:sz w:val="18"/>
          <w:szCs w:val="18"/>
        </w:rPr>
        <w:t>A l’issu</w:t>
      </w:r>
      <w:r w:rsidR="005B1431" w:rsidRPr="00A4537F">
        <w:rPr>
          <w:sz w:val="18"/>
          <w:szCs w:val="18"/>
        </w:rPr>
        <w:t>e</w:t>
      </w:r>
      <w:r w:rsidRPr="00A4537F">
        <w:rPr>
          <w:sz w:val="18"/>
          <w:szCs w:val="18"/>
        </w:rPr>
        <w:t xml:space="preserve"> de toutes les modifications, un contrôle </w:t>
      </w:r>
      <w:r w:rsidR="005B1431" w:rsidRPr="00A4537F">
        <w:rPr>
          <w:sz w:val="18"/>
          <w:szCs w:val="18"/>
        </w:rPr>
        <w:t>a été</w:t>
      </w:r>
      <w:r w:rsidRPr="00A4537F">
        <w:rPr>
          <w:sz w:val="18"/>
          <w:szCs w:val="18"/>
        </w:rPr>
        <w:t xml:space="preserve"> effectué par le SPR du GANIL pour valider que le débit de dose à 0,1 m des surfaces accessibles est compatible avec le classement de la zone IRRSUD en zone surveillée</w:t>
      </w:r>
      <w:r w:rsidR="002822C9">
        <w:rPr>
          <w:sz w:val="18"/>
          <w:szCs w:val="18"/>
        </w:rPr>
        <w:t xml:space="preserve"> (le PV est joint à ce document)</w:t>
      </w:r>
      <w:r w:rsidRPr="00A4537F">
        <w:rPr>
          <w:sz w:val="18"/>
          <w:szCs w:val="18"/>
        </w:rPr>
        <w:t xml:space="preserve">. Un contrôle réglementaire par un organisme agrée </w:t>
      </w:r>
      <w:r w:rsidR="005B1431" w:rsidRPr="00A4537F">
        <w:rPr>
          <w:sz w:val="18"/>
          <w:szCs w:val="18"/>
        </w:rPr>
        <w:t>(SOCOTEC) a été</w:t>
      </w:r>
      <w:r w:rsidRPr="00A4537F">
        <w:rPr>
          <w:sz w:val="18"/>
          <w:szCs w:val="18"/>
        </w:rPr>
        <w:t xml:space="preserve"> également effectué</w:t>
      </w:r>
      <w:r w:rsidR="002822C9">
        <w:rPr>
          <w:sz w:val="18"/>
          <w:szCs w:val="18"/>
        </w:rPr>
        <w:t xml:space="preserve"> (le PV de la SOCOTEC est également joint à ce document)</w:t>
      </w:r>
      <w:r w:rsidRPr="00A4537F">
        <w:rPr>
          <w:sz w:val="18"/>
          <w:szCs w:val="18"/>
        </w:rPr>
        <w:t xml:space="preserve">. </w:t>
      </w:r>
      <w:r w:rsidR="005B1431" w:rsidRPr="00A4537F">
        <w:rPr>
          <w:sz w:val="18"/>
          <w:szCs w:val="18"/>
        </w:rPr>
        <w:t>Ces</w:t>
      </w:r>
      <w:r w:rsidRPr="00A4537F">
        <w:rPr>
          <w:sz w:val="18"/>
          <w:szCs w:val="18"/>
        </w:rPr>
        <w:t xml:space="preserve"> contrôles s’avèrent conformes au zonage radiologique, la consignation pourra </w:t>
      </w:r>
      <w:r w:rsidR="002822C9">
        <w:rPr>
          <w:sz w:val="18"/>
          <w:szCs w:val="18"/>
        </w:rPr>
        <w:t xml:space="preserve">alors </w:t>
      </w:r>
      <w:r w:rsidRPr="00A4537F">
        <w:rPr>
          <w:sz w:val="18"/>
          <w:szCs w:val="18"/>
        </w:rPr>
        <w:t>être levée par le chef d’installation et l’appareil pourra de nouveau être utilisé, dans les deux configurations, conformément à la procédure en annexe 11</w:t>
      </w:r>
      <w:r w:rsidR="005B1431" w:rsidRPr="00A4537F">
        <w:rPr>
          <w:sz w:val="18"/>
          <w:szCs w:val="18"/>
        </w:rPr>
        <w:t xml:space="preserve"> du dossier CIMAP/QSE/IM/009-A</w:t>
      </w:r>
      <w:r w:rsidRPr="00A4537F">
        <w:rPr>
          <w:sz w:val="18"/>
          <w:szCs w:val="18"/>
        </w:rPr>
        <w:t xml:space="preserve">. </w:t>
      </w:r>
    </w:p>
    <w:p w:rsidR="005B1431" w:rsidRPr="00A4537F" w:rsidRDefault="005B1431" w:rsidP="00A4537F">
      <w:pPr>
        <w:pStyle w:val="Corpsdetexte"/>
        <w:spacing w:line="276" w:lineRule="auto"/>
        <w:rPr>
          <w:sz w:val="18"/>
          <w:szCs w:val="18"/>
        </w:rPr>
      </w:pPr>
      <w:r w:rsidRPr="00A4537F">
        <w:rPr>
          <w:sz w:val="18"/>
          <w:szCs w:val="18"/>
        </w:rPr>
        <w:t>Conformément à la demande de l’ASN dans la Lettre DIR/ASQ/2010.016</w:t>
      </w:r>
      <w:r w:rsidR="002822C9">
        <w:rPr>
          <w:sz w:val="18"/>
          <w:szCs w:val="18"/>
        </w:rPr>
        <w:t>,</w:t>
      </w:r>
      <w:r w:rsidR="00571BB9" w:rsidRPr="00A4537F">
        <w:rPr>
          <w:sz w:val="18"/>
          <w:szCs w:val="18"/>
        </w:rPr>
        <w:t xml:space="preserve"> des essais sur les asservissements et dispositifs de sécurité ont été réalisés, le PV de réalisations de ces tests est joint à ce document.</w:t>
      </w:r>
    </w:p>
    <w:p w:rsidR="00671245" w:rsidRPr="00A4537F" w:rsidRDefault="00671245" w:rsidP="00A4537F">
      <w:pPr>
        <w:pStyle w:val="Corpsdetexte"/>
        <w:spacing w:line="276" w:lineRule="auto"/>
        <w:rPr>
          <w:sz w:val="18"/>
          <w:szCs w:val="18"/>
        </w:rPr>
      </w:pPr>
      <w:r w:rsidRPr="00A4537F">
        <w:rPr>
          <w:sz w:val="18"/>
          <w:szCs w:val="18"/>
        </w:rPr>
        <w:t xml:space="preserve">A chaque fois que l’obturateur ou la vanne sont désolidarisés du diffractomètre puis remis en place (par exemple lors de l’alignement), ou que les protections biologiques sont modifiées (passage en-ligne/hors-ligne), un contrôle du SPR </w:t>
      </w:r>
      <w:r w:rsidR="005B1431" w:rsidRPr="00A4537F">
        <w:rPr>
          <w:sz w:val="18"/>
          <w:szCs w:val="18"/>
        </w:rPr>
        <w:t>est</w:t>
      </w:r>
      <w:r w:rsidRPr="00A4537F">
        <w:rPr>
          <w:sz w:val="18"/>
          <w:szCs w:val="18"/>
        </w:rPr>
        <w:t xml:space="preserve"> nécessaire avant de pouvoir redémarrer l’appareil. Les PV de contrôle émis à ce moment seront conservés par le SPR. Toutes ces opérations nécessitent la rédaction préalable d’une demande d’intervention CI 001</w:t>
      </w:r>
      <w:r w:rsidR="005B1431" w:rsidRPr="00A4537F">
        <w:rPr>
          <w:sz w:val="18"/>
          <w:szCs w:val="18"/>
        </w:rPr>
        <w:t xml:space="preserve"> et de compléter le PV de mise « hors » et « EN » opération du diffractomètre sur IRRSUD</w:t>
      </w:r>
      <w:r w:rsidRPr="00A4537F">
        <w:rPr>
          <w:sz w:val="18"/>
          <w:szCs w:val="18"/>
        </w:rPr>
        <w:t>.</w:t>
      </w:r>
    </w:p>
    <w:p w:rsidR="00671245" w:rsidRDefault="00671245" w:rsidP="00A4537F">
      <w:pPr>
        <w:spacing w:line="276" w:lineRule="auto"/>
      </w:pPr>
    </w:p>
    <w:p w:rsidR="00671245" w:rsidRDefault="00671245" w:rsidP="00502A55">
      <w:pPr>
        <w:pStyle w:val="NormalM"/>
        <w:tabs>
          <w:tab w:val="clear" w:pos="1584"/>
          <w:tab w:val="clear" w:pos="1728"/>
        </w:tabs>
        <w:jc w:val="left"/>
      </w:pPr>
    </w:p>
    <w:sectPr w:rsidR="00671245">
      <w:headerReference w:type="default" r:id="rId11"/>
      <w:footerReference w:type="default" r:id="rId12"/>
      <w:endnotePr>
        <w:numFmt w:val="decimal"/>
      </w:endnotePr>
      <w:pgSz w:w="11907" w:h="16840"/>
      <w:pgMar w:top="1821" w:right="1134"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0A" w:rsidRDefault="00F9510A">
      <w:r>
        <w:separator/>
      </w:r>
    </w:p>
  </w:endnote>
  <w:endnote w:type="continuationSeparator" w:id="0">
    <w:p w:rsidR="00F9510A" w:rsidRDefault="00F95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ig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45" w:rsidRDefault="00671245">
    <w:pPr>
      <w:pStyle w:val="Pieddepage"/>
      <w:jc w:val="right"/>
      <w:rPr>
        <w:b/>
        <w:sz w:val="14"/>
      </w:rPr>
    </w:pPr>
    <w:r>
      <w:rPr>
        <w:b/>
        <w:noProof/>
      </w:rPr>
      <w:pict>
        <v:line id="_x0000_s1049" style="position:absolute;left:0;text-align:left;z-index:251662336" from="-.35pt,11.65pt" to="482.7pt,11.7pt" o:allowincell="f" strokeweight="1pt">
          <v:stroke startarrowwidth="narrow" startarrowlength="short" endarrowwidth="narrow" endarrowlength="short"/>
        </v:line>
      </w:pict>
    </w:r>
    <w:r>
      <w:rPr>
        <w:b/>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0;text-align:left;margin-left:-14.45pt;margin-top:.25pt;width:13.55pt;height:11.45pt;flip:x y;z-index:251661312" o:allowincell="f" strokeweight="1pt"/>
      </w:pict>
    </w:r>
    <w:r>
      <w:rPr>
        <w:b/>
        <w:noProof/>
      </w:rPr>
      <w:pict>
        <v:shape id="_x0000_s1046" type="#_x0000_t19" style="position:absolute;left:0;text-align:left;margin-left:482.05pt;margin-top:.25pt;width:13.85pt;height:11.45pt;flip:y;z-index:251660288" o:allowincell="f" strokeweight="1pt"/>
      </w:pict>
    </w:r>
    <w:r>
      <w:rPr>
        <w:b/>
        <w:sz w:val="1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0A" w:rsidRDefault="00F9510A">
      <w:r>
        <w:separator/>
      </w:r>
    </w:p>
  </w:footnote>
  <w:footnote w:type="continuationSeparator" w:id="0">
    <w:p w:rsidR="00F9510A" w:rsidRDefault="00F95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 w:type="dxa"/>
      <w:tblBorders>
        <w:bottom w:val="single" w:sz="6" w:space="0" w:color="auto"/>
        <w:insideV w:val="single" w:sz="6" w:space="0" w:color="auto"/>
      </w:tblBorders>
      <w:tblLayout w:type="fixed"/>
      <w:tblCellMar>
        <w:left w:w="71" w:type="dxa"/>
        <w:right w:w="71" w:type="dxa"/>
      </w:tblCellMar>
      <w:tblLook w:val="0000"/>
    </w:tblPr>
    <w:tblGrid>
      <w:gridCol w:w="3263"/>
      <w:gridCol w:w="4110"/>
      <w:gridCol w:w="2835"/>
    </w:tblGrid>
    <w:tr w:rsidR="00671245">
      <w:tblPrEx>
        <w:tblCellMar>
          <w:top w:w="0" w:type="dxa"/>
          <w:bottom w:w="0" w:type="dxa"/>
        </w:tblCellMar>
      </w:tblPrEx>
      <w:tc>
        <w:tcPr>
          <w:tcW w:w="3263" w:type="dxa"/>
          <w:tcBorders>
            <w:bottom w:val="nil"/>
          </w:tcBorders>
        </w:tcPr>
        <w:p w:rsidR="00671245" w:rsidRDefault="00BA1ED0">
          <w:pPr>
            <w:pStyle w:val="En-tte"/>
            <w:spacing w:before="200"/>
            <w:jc w:val="left"/>
            <w:rPr>
              <w:sz w:val="32"/>
            </w:rPr>
          </w:pPr>
          <w:r>
            <w:rPr>
              <w:noProof/>
            </w:rPr>
            <w:drawing>
              <wp:inline distT="0" distB="0" distL="0" distR="0">
                <wp:extent cx="1392555" cy="541020"/>
                <wp:effectExtent l="19050" t="0" r="0" b="0"/>
                <wp:docPr id="5" name="Image 5" descr="lettr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re haut"/>
                        <pic:cNvPicPr>
                          <a:picLocks noChangeAspect="1" noChangeArrowheads="1"/>
                        </pic:cNvPicPr>
                      </pic:nvPicPr>
                      <pic:blipFill>
                        <a:blip r:embed="rId1"/>
                        <a:srcRect/>
                        <a:stretch>
                          <a:fillRect/>
                        </a:stretch>
                      </pic:blipFill>
                      <pic:spPr bwMode="auto">
                        <a:xfrm>
                          <a:off x="0" y="0"/>
                          <a:ext cx="1392555" cy="541020"/>
                        </a:xfrm>
                        <a:prstGeom prst="rect">
                          <a:avLst/>
                        </a:prstGeom>
                        <a:noFill/>
                        <a:ln w="9525">
                          <a:noFill/>
                          <a:miter lim="800000"/>
                          <a:headEnd/>
                          <a:tailEnd/>
                        </a:ln>
                      </pic:spPr>
                    </pic:pic>
                  </a:graphicData>
                </a:graphic>
              </wp:inline>
            </w:drawing>
          </w:r>
          <w:r w:rsidR="00671245">
            <w:rPr>
              <w:noProof/>
              <w:sz w:val="32"/>
            </w:rPr>
            <w:pict>
              <v:line id="_x0000_s1026" style="position:absolute;flip:y;z-index:251654144;mso-position-horizontal-relative:text;mso-position-vertical-relative:text" from="-14.75pt,13.1pt" to="-14.7pt,776.95pt" o:allowincell="f" strokeweight="1pt">
                <v:stroke startarrowwidth="narrow" startarrowlength="short" endarrowwidth="narrow" endarrowlength="short"/>
              </v:line>
            </w:pict>
          </w:r>
          <w:r w:rsidR="00671245">
            <w:rPr>
              <w:noProof/>
              <w:sz w:val="32"/>
            </w:rPr>
            <w:pict>
              <v:line id="_x0000_s1025" style="position:absolute;z-index:-251663360;mso-position-horizontal-relative:text;mso-position-vertical-relative:text" from="495.85pt,17pt" to="495.9pt,778.15pt" o:allowincell="f" strokeweight="1pt">
                <v:stroke startarrowwidth="narrow" startarrowlength="short" endarrowwidth="narrow" endarrowlength="short"/>
              </v:line>
            </w:pict>
          </w:r>
          <w:r w:rsidR="00671245">
            <w:rPr>
              <w:rFonts w:ascii="Century Gothic" w:hAnsi="Century Gothic"/>
              <w:noProof/>
              <w:sz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margin-left:-14.75pt;margin-top:.2pt;width:13.85pt;height:14.15pt;flip:x;z-index:251655168;mso-position-horizontal-relative:text;mso-position-vertical-relative:text" o:allowincell="f" strokeweight="1pt"/>
            </w:pict>
          </w:r>
          <w:r w:rsidR="00671245">
            <w:rPr>
              <w:noProof/>
              <w:sz w:val="32"/>
            </w:rPr>
            <w:pict>
              <v:line id="_x0000_s1034" style="position:absolute;z-index:251659264;mso-position-horizontal-relative:text;mso-position-vertical-relative:text" from="127.15pt,.2pt" to="354.3pt,.25pt" o:allowincell="f" strokeweight="1pt">
                <v:stroke startarrowwidth="narrow" startarrowlength="short" endarrowwidth="narrow" endarrowlength="short"/>
              </v:line>
            </w:pict>
          </w:r>
          <w:r w:rsidR="00671245">
            <w:rPr>
              <w:noProof/>
              <w:sz w:val="32"/>
            </w:rPr>
            <w:pict>
              <v:line id="_x0000_s1033" style="position:absolute;z-index:251658240;mso-position-horizontal-relative:text;mso-position-vertical-relative:text" from="353.95pt,.2pt" to="482.4pt,.25pt" o:allowincell="f" strokeweight="1pt">
                <v:stroke startarrowwidth="narrow" startarrowlength="short" endarrowwidth="narrow" endarrowlength="short"/>
              </v:line>
            </w:pict>
          </w:r>
          <w:r w:rsidR="00671245">
            <w:rPr>
              <w:noProof/>
              <w:sz w:val="32"/>
            </w:rPr>
            <w:pict>
              <v:shape id="_x0000_s1029" type="#_x0000_t19" style="position:absolute;margin-left:481.75pt;margin-top:.2pt;width:14.15pt;height:16.25pt;z-index:251656192;mso-position-horizontal-relative:text;mso-position-vertical-relative:text" o:allowincell="f" strokeweight="1pt"/>
            </w:pict>
          </w:r>
          <w:r w:rsidR="00671245">
            <w:rPr>
              <w:noProof/>
              <w:sz w:val="32"/>
            </w:rPr>
            <w:pict>
              <v:line id="_x0000_s1032" style="position:absolute;z-index:251657216;mso-position-horizontal-relative:text;mso-position-vertical-relative:text" from="-.65pt,.2pt" to="127.5pt,.25pt" o:allowincell="f" strokeweight="1pt">
                <v:stroke startarrowwidth="narrow" startarrowlength="short" endarrowwidth="narrow" endarrowlength="short"/>
              </v:line>
            </w:pict>
          </w:r>
        </w:p>
      </w:tc>
      <w:tc>
        <w:tcPr>
          <w:tcW w:w="4108" w:type="dxa"/>
          <w:tcBorders>
            <w:bottom w:val="nil"/>
          </w:tcBorders>
        </w:tcPr>
        <w:p w:rsidR="00671245" w:rsidRDefault="00671245">
          <w:pPr>
            <w:pStyle w:val="En-tte"/>
            <w:jc w:val="center"/>
            <w:rPr>
              <w:bCs/>
              <w:sz w:val="16"/>
            </w:rPr>
          </w:pPr>
        </w:p>
        <w:p w:rsidR="00671245" w:rsidRPr="00502A55" w:rsidRDefault="00502A55" w:rsidP="00502A55">
          <w:pPr>
            <w:pStyle w:val="En-tte"/>
            <w:jc w:val="center"/>
            <w:rPr>
              <w:rFonts w:ascii="Marigold" w:hAnsi="Marigold"/>
              <w:bCs/>
              <w:sz w:val="22"/>
              <w:szCs w:val="22"/>
            </w:rPr>
          </w:pPr>
          <w:r w:rsidRPr="00502A55">
            <w:rPr>
              <w:bCs/>
              <w:sz w:val="22"/>
              <w:szCs w:val="22"/>
            </w:rPr>
            <w:t>Descriptif des asservissements et dispositifs de sécurité</w:t>
          </w:r>
          <w:r w:rsidR="00671245" w:rsidRPr="00502A55">
            <w:rPr>
              <w:bCs/>
              <w:sz w:val="22"/>
              <w:szCs w:val="22"/>
            </w:rPr>
            <w:t xml:space="preserve"> </w:t>
          </w:r>
          <w:r w:rsidRPr="00502A55">
            <w:rPr>
              <w:bCs/>
              <w:sz w:val="22"/>
              <w:szCs w:val="22"/>
            </w:rPr>
            <w:t xml:space="preserve">du </w:t>
          </w:r>
          <w:r w:rsidR="00671245" w:rsidRPr="00502A55">
            <w:rPr>
              <w:bCs/>
              <w:sz w:val="22"/>
              <w:szCs w:val="22"/>
            </w:rPr>
            <w:t>diffractom</w:t>
          </w:r>
          <w:r>
            <w:rPr>
              <w:bCs/>
              <w:sz w:val="22"/>
              <w:szCs w:val="22"/>
            </w:rPr>
            <w:t>è</w:t>
          </w:r>
          <w:r w:rsidR="00671245" w:rsidRPr="00502A55">
            <w:rPr>
              <w:bCs/>
              <w:sz w:val="22"/>
              <w:szCs w:val="22"/>
            </w:rPr>
            <w:t>tre de rayons X</w:t>
          </w:r>
          <w:r w:rsidR="0098035D">
            <w:rPr>
              <w:bCs/>
              <w:sz w:val="22"/>
              <w:szCs w:val="22"/>
            </w:rPr>
            <w:t xml:space="preserve"> modifié</w:t>
          </w:r>
        </w:p>
      </w:tc>
      <w:tc>
        <w:tcPr>
          <w:tcW w:w="2835" w:type="dxa"/>
          <w:tcBorders>
            <w:bottom w:val="nil"/>
          </w:tcBorders>
        </w:tcPr>
        <w:p w:rsidR="00671245" w:rsidRDefault="00671245">
          <w:pPr>
            <w:pStyle w:val="En-tte"/>
            <w:jc w:val="center"/>
            <w:rPr>
              <w:sz w:val="20"/>
            </w:rPr>
          </w:pPr>
        </w:p>
        <w:p w:rsidR="00671245" w:rsidRDefault="00671245">
          <w:pPr>
            <w:pStyle w:val="En-tte"/>
            <w:jc w:val="center"/>
            <w:rPr>
              <w:rStyle w:val="Numrodepage"/>
              <w:sz w:val="20"/>
            </w:rPr>
          </w:pPr>
          <w:r>
            <w:rPr>
              <w:sz w:val="20"/>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sidR="00BA1ED0">
            <w:rPr>
              <w:rStyle w:val="Numrodepage"/>
              <w:rFonts w:cs="Arial"/>
              <w:noProof/>
              <w:sz w:val="20"/>
            </w:rPr>
            <w:t>1</w:t>
          </w:r>
          <w:r>
            <w:rPr>
              <w:rStyle w:val="Numrodepage"/>
              <w:rFonts w:cs="Arial"/>
              <w:sz w:val="20"/>
            </w:rPr>
            <w:fldChar w:fldCharType="end"/>
          </w:r>
          <w:r>
            <w:rPr>
              <w:rStyle w:val="Numrodepage"/>
              <w:rFonts w:cs="Arial"/>
              <w:sz w:val="20"/>
            </w:rPr>
            <w:t>/</w:t>
          </w:r>
          <w:r>
            <w:rPr>
              <w:rStyle w:val="Numrodepage"/>
              <w:rFonts w:cs="Arial"/>
              <w:sz w:val="20"/>
            </w:rPr>
            <w:fldChar w:fldCharType="begin"/>
          </w:r>
          <w:r>
            <w:rPr>
              <w:rStyle w:val="Numrodepage"/>
              <w:rFonts w:cs="Arial"/>
              <w:sz w:val="20"/>
            </w:rPr>
            <w:instrText xml:space="preserve"> NUMPAGES </w:instrText>
          </w:r>
          <w:r>
            <w:rPr>
              <w:rStyle w:val="Numrodepage"/>
              <w:rFonts w:cs="Arial"/>
              <w:sz w:val="20"/>
            </w:rPr>
            <w:fldChar w:fldCharType="separate"/>
          </w:r>
          <w:r w:rsidR="00BA1ED0">
            <w:rPr>
              <w:rStyle w:val="Numrodepage"/>
              <w:rFonts w:cs="Arial"/>
              <w:noProof/>
              <w:sz w:val="20"/>
            </w:rPr>
            <w:t>4</w:t>
          </w:r>
          <w:r>
            <w:rPr>
              <w:rStyle w:val="Numrodepage"/>
              <w:rFonts w:cs="Arial"/>
              <w:sz w:val="20"/>
            </w:rPr>
            <w:fldChar w:fldCharType="end"/>
          </w:r>
        </w:p>
        <w:p w:rsidR="00671245" w:rsidRDefault="00671245">
          <w:pPr>
            <w:pStyle w:val="En-tte"/>
            <w:jc w:val="center"/>
            <w:rPr>
              <w:rStyle w:val="Numrodepage"/>
              <w:sz w:val="20"/>
            </w:rPr>
          </w:pPr>
        </w:p>
        <w:p w:rsidR="00671245" w:rsidRDefault="00671245">
          <w:pPr>
            <w:pStyle w:val="En-tte"/>
            <w:jc w:val="center"/>
            <w:rPr>
              <w:sz w:val="20"/>
            </w:rPr>
          </w:pPr>
        </w:p>
      </w:tc>
    </w:tr>
    <w:tr w:rsidR="00671245">
      <w:tblPrEx>
        <w:tblCellMar>
          <w:top w:w="0" w:type="dxa"/>
          <w:bottom w:w="0" w:type="dxa"/>
        </w:tblCellMar>
      </w:tblPrEx>
      <w:trPr>
        <w:trHeight w:val="249"/>
      </w:trPr>
      <w:tc>
        <w:tcPr>
          <w:tcW w:w="3261" w:type="dxa"/>
          <w:tcBorders>
            <w:top w:val="single" w:sz="4" w:space="0" w:color="auto"/>
            <w:left w:val="single" w:sz="4" w:space="0" w:color="auto"/>
            <w:bottom w:val="single" w:sz="4" w:space="0" w:color="auto"/>
            <w:right w:val="single" w:sz="6" w:space="0" w:color="auto"/>
          </w:tcBorders>
        </w:tcPr>
        <w:p w:rsidR="00671245" w:rsidRDefault="00671245">
          <w:pPr>
            <w:pStyle w:val="En-tte"/>
            <w:jc w:val="center"/>
            <w:rPr>
              <w:iCs/>
              <w:sz w:val="14"/>
            </w:rPr>
          </w:pPr>
        </w:p>
        <w:p w:rsidR="00671245" w:rsidRDefault="00671245">
          <w:pPr>
            <w:pStyle w:val="En-tte"/>
            <w:jc w:val="center"/>
            <w:rPr>
              <w:i/>
              <w:sz w:val="20"/>
            </w:rPr>
          </w:pPr>
        </w:p>
      </w:tc>
      <w:tc>
        <w:tcPr>
          <w:tcW w:w="4110" w:type="dxa"/>
          <w:tcBorders>
            <w:top w:val="single" w:sz="4" w:space="0" w:color="auto"/>
            <w:left w:val="single" w:sz="6" w:space="0" w:color="auto"/>
            <w:bottom w:val="single" w:sz="4" w:space="0" w:color="auto"/>
            <w:right w:val="single" w:sz="6" w:space="0" w:color="auto"/>
          </w:tcBorders>
        </w:tcPr>
        <w:p w:rsidR="00671245" w:rsidRDefault="00671245">
          <w:pPr>
            <w:pStyle w:val="En-tte"/>
            <w:jc w:val="center"/>
            <w:rPr>
              <w:rFonts w:ascii="Marigold" w:hAnsi="Marigold"/>
              <w:b/>
              <w:sz w:val="18"/>
            </w:rPr>
          </w:pPr>
        </w:p>
      </w:tc>
      <w:tc>
        <w:tcPr>
          <w:tcW w:w="2835" w:type="dxa"/>
          <w:tcBorders>
            <w:top w:val="single" w:sz="4" w:space="0" w:color="auto"/>
            <w:left w:val="single" w:sz="6" w:space="0" w:color="auto"/>
            <w:bottom w:val="single" w:sz="4" w:space="0" w:color="auto"/>
            <w:right w:val="single" w:sz="4" w:space="0" w:color="auto"/>
          </w:tcBorders>
        </w:tcPr>
        <w:p w:rsidR="00671245" w:rsidRDefault="00671245">
          <w:pPr>
            <w:pStyle w:val="En-tte"/>
            <w:jc w:val="center"/>
            <w:rPr>
              <w:bCs/>
              <w:sz w:val="20"/>
              <w:lang w:val="de-DE"/>
            </w:rPr>
          </w:pPr>
          <w:r>
            <w:rPr>
              <w:bCs/>
              <w:sz w:val="20"/>
              <w:lang w:val="de-DE"/>
            </w:rPr>
            <w:t>CIMAP/QSE/IM/009-A</w:t>
          </w:r>
        </w:p>
      </w:tc>
    </w:tr>
  </w:tbl>
  <w:p w:rsidR="00671245" w:rsidRDefault="00671245">
    <w:pPr>
      <w:pStyle w:val="En-tte"/>
      <w:rPr>
        <w:sz w:val="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30056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4707B74"/>
    <w:multiLevelType w:val="hybridMultilevel"/>
    <w:tmpl w:val="1AF204EC"/>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521F45"/>
    <w:multiLevelType w:val="hybridMultilevel"/>
    <w:tmpl w:val="064A9C68"/>
    <w:lvl w:ilvl="0" w:tplc="040C0001">
      <w:start w:val="1"/>
      <w:numFmt w:val="bullet"/>
      <w:lvlText w:val=""/>
      <w:lvlJc w:val="left"/>
      <w:pPr>
        <w:tabs>
          <w:tab w:val="num" w:pos="720"/>
        </w:tabs>
        <w:ind w:left="720" w:hanging="360"/>
      </w:pPr>
      <w:rPr>
        <w:rFonts w:ascii="Symbol" w:hAnsi="Symbol" w:hint="default"/>
      </w:rPr>
    </w:lvl>
    <w:lvl w:ilvl="1" w:tplc="D9F8C2FC">
      <w:start w:val="1"/>
      <w:numFmt w:val="bullet"/>
      <w:lvlText w:val="-"/>
      <w:lvlJc w:val="left"/>
      <w:pPr>
        <w:tabs>
          <w:tab w:val="num" w:pos="1905"/>
        </w:tabs>
        <w:ind w:left="1905" w:hanging="825"/>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C63C59"/>
    <w:multiLevelType w:val="multilevel"/>
    <w:tmpl w:val="DDBADDA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B253154"/>
    <w:multiLevelType w:val="hybridMultilevel"/>
    <w:tmpl w:val="4D38ED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1F4534"/>
    <w:multiLevelType w:val="hybridMultilevel"/>
    <w:tmpl w:val="4800AA2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EA46BB"/>
    <w:multiLevelType w:val="multilevel"/>
    <w:tmpl w:val="4FD02D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6B3D1A"/>
    <w:multiLevelType w:val="multilevel"/>
    <w:tmpl w:val="4DB0BF86"/>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0">
    <w:nsid w:val="12587E89"/>
    <w:multiLevelType w:val="hybridMultilevel"/>
    <w:tmpl w:val="BD783688"/>
    <w:lvl w:ilvl="0" w:tplc="040C0001">
      <w:start w:val="1"/>
      <w:numFmt w:val="bullet"/>
      <w:lvlText w:val=""/>
      <w:lvlJc w:val="left"/>
      <w:pPr>
        <w:tabs>
          <w:tab w:val="num" w:pos="2138"/>
        </w:tabs>
        <w:ind w:left="2138" w:hanging="360"/>
      </w:pPr>
      <w:rPr>
        <w:rFonts w:ascii="Symbol" w:hAnsi="Symbol" w:hint="default"/>
      </w:rPr>
    </w:lvl>
    <w:lvl w:ilvl="1" w:tplc="040C0005">
      <w:start w:val="1"/>
      <w:numFmt w:val="bullet"/>
      <w:lvlText w:val=""/>
      <w:lvlJc w:val="left"/>
      <w:pPr>
        <w:tabs>
          <w:tab w:val="num" w:pos="2858"/>
        </w:tabs>
        <w:ind w:left="2858" w:hanging="360"/>
      </w:pPr>
      <w:rPr>
        <w:rFonts w:ascii="Wingdings" w:hAnsi="Wingding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nsid w:val="15AA4462"/>
    <w:multiLevelType w:val="hybridMultilevel"/>
    <w:tmpl w:val="5C1617B0"/>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nsid w:val="15DE11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211142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16D0764"/>
    <w:multiLevelType w:val="hybridMultilevel"/>
    <w:tmpl w:val="2EE0B30A"/>
    <w:lvl w:ilvl="0" w:tplc="96BAC8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2606316"/>
    <w:multiLevelType w:val="hybridMultilevel"/>
    <w:tmpl w:val="BD783688"/>
    <w:lvl w:ilvl="0" w:tplc="040C0001">
      <w:start w:val="1"/>
      <w:numFmt w:val="bullet"/>
      <w:lvlText w:val=""/>
      <w:lvlJc w:val="left"/>
      <w:pPr>
        <w:tabs>
          <w:tab w:val="num" w:pos="2138"/>
        </w:tabs>
        <w:ind w:left="2138" w:hanging="360"/>
      </w:pPr>
      <w:rPr>
        <w:rFonts w:ascii="Symbol" w:hAnsi="Symbol" w:hint="default"/>
      </w:rPr>
    </w:lvl>
    <w:lvl w:ilvl="1" w:tplc="807A3626">
      <w:numFmt w:val="bullet"/>
      <w:lvlText w:val="-"/>
      <w:lvlJc w:val="left"/>
      <w:pPr>
        <w:tabs>
          <w:tab w:val="num" w:pos="2858"/>
        </w:tabs>
        <w:ind w:left="2858" w:hanging="360"/>
      </w:pPr>
      <w:rPr>
        <w:rFonts w:ascii="Times New Roman" w:eastAsia="Times New Roman" w:hAnsi="Times New Roman" w:cs="Times New Roman"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55D2147"/>
    <w:multiLevelType w:val="hybridMultilevel"/>
    <w:tmpl w:val="D618F262"/>
    <w:lvl w:ilvl="0" w:tplc="040C0001">
      <w:start w:val="1"/>
      <w:numFmt w:val="bullet"/>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7477A30"/>
    <w:multiLevelType w:val="hybridMultilevel"/>
    <w:tmpl w:val="2A4E5E56"/>
    <w:lvl w:ilvl="0" w:tplc="331C3A8A">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BE10699"/>
    <w:multiLevelType w:val="multilevel"/>
    <w:tmpl w:val="9AFE94F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F102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3267F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34D757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39594FE0"/>
    <w:multiLevelType w:val="hybridMultilevel"/>
    <w:tmpl w:val="5512E590"/>
    <w:lvl w:ilvl="0" w:tplc="8368B03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CD869FE"/>
    <w:multiLevelType w:val="hybridMultilevel"/>
    <w:tmpl w:val="1FC29F8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FF44750"/>
    <w:multiLevelType w:val="hybridMultilevel"/>
    <w:tmpl w:val="1F30E9B6"/>
    <w:lvl w:ilvl="0" w:tplc="040C0001">
      <w:start w:val="1"/>
      <w:numFmt w:val="bullet"/>
      <w:lvlText w:val=""/>
      <w:lvlJc w:val="left"/>
      <w:pPr>
        <w:tabs>
          <w:tab w:val="num" w:pos="720"/>
        </w:tabs>
        <w:ind w:left="720" w:hanging="360"/>
      </w:pPr>
      <w:rPr>
        <w:rFonts w:ascii="Symbol" w:hAnsi="Symbol" w:hint="default"/>
      </w:rPr>
    </w:lvl>
    <w:lvl w:ilvl="1" w:tplc="A5E4B04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61434C6"/>
    <w:multiLevelType w:val="multilevel"/>
    <w:tmpl w:val="2EE0A7D8"/>
    <w:lvl w:ilvl="0">
      <w:start w:val="1"/>
      <w:numFmt w:val="decimal"/>
      <w:lvlText w:val="%1"/>
      <w:lvlJc w:val="left"/>
      <w:pPr>
        <w:tabs>
          <w:tab w:val="num" w:pos="999"/>
        </w:tabs>
        <w:ind w:left="999"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6">
    <w:nsid w:val="466714F8"/>
    <w:multiLevelType w:val="hybridMultilevel"/>
    <w:tmpl w:val="A71203EC"/>
    <w:lvl w:ilvl="0" w:tplc="B8B817C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E8512A7"/>
    <w:multiLevelType w:val="hybridMultilevel"/>
    <w:tmpl w:val="74C66ACA"/>
    <w:lvl w:ilvl="0" w:tplc="AD0AE58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98C10CE"/>
    <w:multiLevelType w:val="singleLevel"/>
    <w:tmpl w:val="040C0007"/>
    <w:lvl w:ilvl="0">
      <w:start w:val="1"/>
      <w:numFmt w:val="bullet"/>
      <w:lvlText w:val=""/>
      <w:lvlJc w:val="left"/>
      <w:pPr>
        <w:tabs>
          <w:tab w:val="num" w:pos="720"/>
        </w:tabs>
        <w:ind w:left="720" w:hanging="360"/>
      </w:pPr>
      <w:rPr>
        <w:rFonts w:ascii="Wingdings" w:hAnsi="Wingdings" w:hint="default"/>
        <w:sz w:val="16"/>
      </w:rPr>
    </w:lvl>
  </w:abstractNum>
  <w:abstractNum w:abstractNumId="29">
    <w:nsid w:val="65A42318"/>
    <w:multiLevelType w:val="hybridMultilevel"/>
    <w:tmpl w:val="159C41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D040F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6FA71A71"/>
    <w:multiLevelType w:val="multilevel"/>
    <w:tmpl w:val="9B30203E"/>
    <w:lvl w:ilvl="0">
      <w:start w:val="1"/>
      <w:numFmt w:val="decimal"/>
      <w:lvlText w:val="%1."/>
      <w:lvlJc w:val="left"/>
      <w:pPr>
        <w:tabs>
          <w:tab w:val="num" w:pos="360"/>
        </w:tabs>
        <w:ind w:left="360" w:hanging="360"/>
      </w:pPr>
    </w:lvl>
    <w:lvl w:ilvl="1">
      <w:start w:val="2"/>
      <w:numFmt w:val="decimal"/>
      <w:pStyle w:val="Normal"/>
      <w:isLgl/>
      <w:lvlText w:val="%1.%2"/>
      <w:lvlJc w:val="left"/>
      <w:pPr>
        <w:tabs>
          <w:tab w:val="num" w:pos="957"/>
        </w:tabs>
        <w:ind w:left="957" w:hanging="390"/>
      </w:pPr>
      <w:rPr>
        <w:rFonts w:hint="default"/>
      </w:rPr>
    </w:lvl>
    <w:lvl w:ilvl="2">
      <w:start w:val="1"/>
      <w:numFmt w:val="decimal"/>
      <w:pStyle w:val="Normal"/>
      <w:isLgl/>
      <w:lvlText w:val="%1.%2.%3"/>
      <w:lvlJc w:val="left"/>
      <w:pPr>
        <w:tabs>
          <w:tab w:val="num" w:pos="1854"/>
        </w:tabs>
        <w:ind w:left="1854" w:hanging="720"/>
      </w:pPr>
      <w:rPr>
        <w:rFonts w:hint="default"/>
      </w:rPr>
    </w:lvl>
    <w:lvl w:ilvl="3">
      <w:start w:val="1"/>
      <w:numFmt w:val="decimal"/>
      <w:pStyle w:val="Normal"/>
      <w:isLgl/>
      <w:lvlText w:val="%1.%2.%3.%4"/>
      <w:lvlJc w:val="left"/>
      <w:pPr>
        <w:tabs>
          <w:tab w:val="num" w:pos="2781"/>
        </w:tabs>
        <w:ind w:left="2781" w:hanging="1080"/>
      </w:pPr>
      <w:rPr>
        <w:rFonts w:hint="default"/>
      </w:rPr>
    </w:lvl>
    <w:lvl w:ilvl="4">
      <w:start w:val="1"/>
      <w:numFmt w:val="decimal"/>
      <w:pStyle w:val="Normal"/>
      <w:isLgl/>
      <w:lvlText w:val="%1.%2.%3.%4.%5"/>
      <w:lvlJc w:val="left"/>
      <w:pPr>
        <w:tabs>
          <w:tab w:val="num" w:pos="3348"/>
        </w:tabs>
        <w:ind w:left="3348" w:hanging="1080"/>
      </w:pPr>
      <w:rPr>
        <w:rFonts w:hint="default"/>
      </w:rPr>
    </w:lvl>
    <w:lvl w:ilvl="5">
      <w:start w:val="1"/>
      <w:numFmt w:val="decimal"/>
      <w:pStyle w:val="Normal"/>
      <w:isLgl/>
      <w:lvlText w:val="%1.%2.%3.%4.%5.%6"/>
      <w:lvlJc w:val="left"/>
      <w:pPr>
        <w:tabs>
          <w:tab w:val="num" w:pos="4275"/>
        </w:tabs>
        <w:ind w:left="4275" w:hanging="1440"/>
      </w:pPr>
      <w:rPr>
        <w:rFonts w:hint="default"/>
      </w:rPr>
    </w:lvl>
    <w:lvl w:ilvl="6">
      <w:start w:val="1"/>
      <w:numFmt w:val="decimal"/>
      <w:pStyle w:val="Normal"/>
      <w:isLgl/>
      <w:lvlText w:val="%1.%2.%3.%4.%5.%6.%7"/>
      <w:lvlJc w:val="left"/>
      <w:pPr>
        <w:tabs>
          <w:tab w:val="num" w:pos="4842"/>
        </w:tabs>
        <w:ind w:left="4842" w:hanging="1440"/>
      </w:pPr>
      <w:rPr>
        <w:rFonts w:hint="default"/>
      </w:rPr>
    </w:lvl>
    <w:lvl w:ilvl="7">
      <w:start w:val="1"/>
      <w:numFmt w:val="decimal"/>
      <w:pStyle w:val="Normal"/>
      <w:isLgl/>
      <w:lvlText w:val="%1.%2.%3.%4.%5.%6.%7.%8"/>
      <w:lvlJc w:val="left"/>
      <w:pPr>
        <w:tabs>
          <w:tab w:val="num" w:pos="5769"/>
        </w:tabs>
        <w:ind w:left="5769" w:hanging="1800"/>
      </w:pPr>
      <w:rPr>
        <w:rFonts w:hint="default"/>
      </w:rPr>
    </w:lvl>
    <w:lvl w:ilvl="8">
      <w:start w:val="1"/>
      <w:numFmt w:val="decimal"/>
      <w:pStyle w:val="Normal"/>
      <w:isLgl/>
      <w:lvlText w:val="%1.%2.%3.%4.%5.%6.%7.%8.%9"/>
      <w:lvlJc w:val="left"/>
      <w:pPr>
        <w:tabs>
          <w:tab w:val="num" w:pos="6336"/>
        </w:tabs>
        <w:ind w:left="6336" w:hanging="1800"/>
      </w:pPr>
      <w:rPr>
        <w:rFonts w:hint="default"/>
      </w:rPr>
    </w:lvl>
  </w:abstractNum>
  <w:abstractNum w:abstractNumId="32">
    <w:nsid w:val="72C40849"/>
    <w:multiLevelType w:val="multilevel"/>
    <w:tmpl w:val="B2E0C31C"/>
    <w:lvl w:ilvl="0">
      <w:start w:val="1"/>
      <w:numFmt w:val="decimal"/>
      <w:pStyle w:val="Titre1"/>
      <w:lvlText w:val="%1"/>
      <w:lvlJc w:val="left"/>
      <w:pPr>
        <w:tabs>
          <w:tab w:val="num" w:pos="574"/>
        </w:tabs>
        <w:ind w:left="574" w:hanging="432"/>
      </w:pPr>
      <w:rPr>
        <w:rFonts w:hint="default"/>
      </w:rPr>
    </w:lvl>
    <w:lvl w:ilvl="1">
      <w:start w:val="1"/>
      <w:numFmt w:val="decimal"/>
      <w:pStyle w:val="Titre2"/>
      <w:lvlText w:val="%2."/>
      <w:lvlJc w:val="left"/>
      <w:pPr>
        <w:tabs>
          <w:tab w:val="num" w:pos="1854"/>
        </w:tabs>
        <w:ind w:left="1143" w:hanging="9"/>
      </w:pPr>
      <w:rPr>
        <w:rFonts w:hint="default"/>
      </w:rPr>
    </w:lvl>
    <w:lvl w:ilvl="2">
      <w:start w:val="1"/>
      <w:numFmt w:val="decimal"/>
      <w:pStyle w:val="Titre3"/>
      <w:lvlText w:val="%1.%2.%3"/>
      <w:lvlJc w:val="left"/>
      <w:pPr>
        <w:tabs>
          <w:tab w:val="num" w:pos="2421"/>
        </w:tabs>
        <w:ind w:left="1287" w:firstLine="414"/>
      </w:pPr>
      <w:rPr>
        <w:rFonts w:hint="default"/>
      </w:rPr>
    </w:lvl>
    <w:lvl w:ilvl="3">
      <w:start w:val="1"/>
      <w:numFmt w:val="decimal"/>
      <w:pStyle w:val="Titre4"/>
      <w:lvlText w:val="%1.%2.%3.%4"/>
      <w:lvlJc w:val="left"/>
      <w:pPr>
        <w:tabs>
          <w:tab w:val="num" w:pos="2988"/>
        </w:tabs>
        <w:ind w:left="1431" w:firstLine="837"/>
      </w:pPr>
      <w:rPr>
        <w:rFonts w:hint="default"/>
        <w:color w:val="auto"/>
        <w:sz w:val="20"/>
      </w:rPr>
    </w:lvl>
    <w:lvl w:ilvl="4">
      <w:start w:val="1"/>
      <w:numFmt w:val="decimal"/>
      <w:pStyle w:val="Titre5"/>
      <w:lvlText w:val="%1.%2.%3.%4.%5"/>
      <w:lvlJc w:val="left"/>
      <w:pPr>
        <w:tabs>
          <w:tab w:val="num" w:pos="1575"/>
        </w:tabs>
        <w:ind w:left="1575" w:hanging="1008"/>
      </w:pPr>
      <w:rPr>
        <w:rFonts w:hint="default"/>
      </w:rPr>
    </w:lvl>
    <w:lvl w:ilvl="5">
      <w:start w:val="1"/>
      <w:numFmt w:val="decimal"/>
      <w:pStyle w:val="Titre6"/>
      <w:lvlText w:val="%1.%2.%3.%4.%5.%6"/>
      <w:lvlJc w:val="left"/>
      <w:pPr>
        <w:tabs>
          <w:tab w:val="num" w:pos="1719"/>
        </w:tabs>
        <w:ind w:left="1719" w:hanging="1152"/>
      </w:pPr>
      <w:rPr>
        <w:rFonts w:hint="default"/>
      </w:rPr>
    </w:lvl>
    <w:lvl w:ilvl="6">
      <w:start w:val="1"/>
      <w:numFmt w:val="decimal"/>
      <w:pStyle w:val="Titre7"/>
      <w:lvlText w:val="%1.%2.%3.%4.%5.%6.%7"/>
      <w:lvlJc w:val="left"/>
      <w:pPr>
        <w:tabs>
          <w:tab w:val="num" w:pos="1863"/>
        </w:tabs>
        <w:ind w:left="1863" w:hanging="1296"/>
      </w:pPr>
      <w:rPr>
        <w:rFonts w:hint="default"/>
      </w:rPr>
    </w:lvl>
    <w:lvl w:ilvl="7">
      <w:start w:val="1"/>
      <w:numFmt w:val="decimal"/>
      <w:pStyle w:val="Titre8"/>
      <w:lvlText w:val="%1.%2.%3.%4.%5.%6.%7.%8"/>
      <w:lvlJc w:val="left"/>
      <w:pPr>
        <w:tabs>
          <w:tab w:val="num" w:pos="2007"/>
        </w:tabs>
        <w:ind w:left="2007" w:hanging="1440"/>
      </w:pPr>
      <w:rPr>
        <w:rFonts w:hint="default"/>
      </w:rPr>
    </w:lvl>
    <w:lvl w:ilvl="8">
      <w:start w:val="1"/>
      <w:numFmt w:val="decimal"/>
      <w:pStyle w:val="Titre9"/>
      <w:lvlText w:val="%1.%2.%3.%4.%5.%6.%7.%8.%9"/>
      <w:lvlJc w:val="left"/>
      <w:pPr>
        <w:tabs>
          <w:tab w:val="num" w:pos="2151"/>
        </w:tabs>
        <w:ind w:left="2151" w:hanging="1584"/>
      </w:pPr>
      <w:rPr>
        <w:rFonts w:hint="default"/>
      </w:rPr>
    </w:lvl>
  </w:abstractNum>
  <w:abstractNum w:abstractNumId="33">
    <w:nsid w:val="78BC1E42"/>
    <w:multiLevelType w:val="hybridMultilevel"/>
    <w:tmpl w:val="EB04885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BE715F4"/>
    <w:multiLevelType w:val="multilevel"/>
    <w:tmpl w:val="CA6881C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F6D5D9A"/>
    <w:multiLevelType w:val="hybridMultilevel"/>
    <w:tmpl w:val="68E0E606"/>
    <w:lvl w:ilvl="0" w:tplc="CE8A264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num>
  <w:num w:numId="3">
    <w:abstractNumId w:val="1"/>
  </w:num>
  <w:num w:numId="4">
    <w:abstractNumId w:val="13"/>
  </w:num>
  <w:num w:numId="5">
    <w:abstractNumId w:val="30"/>
  </w:num>
  <w:num w:numId="6">
    <w:abstractNumId w:val="19"/>
  </w:num>
  <w:num w:numId="7">
    <w:abstractNumId w:val="12"/>
  </w:num>
  <w:num w:numId="8">
    <w:abstractNumId w:val="2"/>
  </w:num>
  <w:num w:numId="9">
    <w:abstractNumId w:val="20"/>
  </w:num>
  <w:num w:numId="10">
    <w:abstractNumId w:val="21"/>
  </w:num>
  <w:num w:numId="11">
    <w:abstractNumId w:val="31"/>
  </w:num>
  <w:num w:numId="12">
    <w:abstractNumId w:val="25"/>
  </w:num>
  <w:num w:numId="13">
    <w:abstractNumId w:val="28"/>
  </w:num>
  <w:num w:numId="14">
    <w:abstractNumId w:val="6"/>
  </w:num>
  <w:num w:numId="15">
    <w:abstractNumId w:val="24"/>
  </w:num>
  <w:num w:numId="16">
    <w:abstractNumId w:val="35"/>
  </w:num>
  <w:num w:numId="17">
    <w:abstractNumId w:val="4"/>
  </w:num>
  <w:num w:numId="18">
    <w:abstractNumId w:val="3"/>
  </w:num>
  <w:num w:numId="19">
    <w:abstractNumId w:val="26"/>
  </w:num>
  <w:num w:numId="20">
    <w:abstractNumId w:val="18"/>
  </w:num>
  <w:num w:numId="21">
    <w:abstractNumId w:val="16"/>
  </w:num>
  <w:num w:numId="22">
    <w:abstractNumId w:val="15"/>
  </w:num>
  <w:num w:numId="23">
    <w:abstractNumId w:val="11"/>
  </w:num>
  <w:num w:numId="24">
    <w:abstractNumId w:val="25"/>
    <w:lvlOverride w:ilvl="0">
      <w:startOverride w:val="3"/>
    </w:lvlOverride>
  </w:num>
  <w:num w:numId="25">
    <w:abstractNumId w:val="7"/>
  </w:num>
  <w:num w:numId="26">
    <w:abstractNumId w:val="10"/>
  </w:num>
  <w:num w:numId="27">
    <w:abstractNumId w:val="23"/>
  </w:num>
  <w:num w:numId="28">
    <w:abstractNumId w:val="29"/>
  </w:num>
  <w:num w:numId="29">
    <w:abstractNumId w:val="33"/>
  </w:num>
  <w:num w:numId="30">
    <w:abstractNumId w:val="32"/>
  </w:num>
  <w:num w:numId="31">
    <w:abstractNumId w:val="22"/>
  </w:num>
  <w:num w:numId="32">
    <w:abstractNumId w:val="8"/>
  </w:num>
  <w:num w:numId="33">
    <w:abstractNumId w:val="5"/>
  </w:num>
  <w:num w:numId="34">
    <w:abstractNumId w:val="34"/>
  </w:num>
  <w:num w:numId="35">
    <w:abstractNumId w:val="9"/>
  </w:num>
  <w:num w:numId="36">
    <w:abstractNumId w:val="27"/>
  </w:num>
  <w:num w:numId="37">
    <w:abstractNumId w:val="1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fillcolor="none" strokecolor="none"/>
    </o:shapedefaults>
    <o:shapelayout v:ext="edit">
      <o:idmap v:ext="edit" data="1"/>
      <o:rules v:ext="edit">
        <o:r id="V:Rule1" type="arc" idref="#_x0000_s1028"/>
        <o:r id="V:Rule2" type="arc" idref="#_x0000_s1029"/>
      </o:rules>
    </o:shapelayout>
  </w:hdrShapeDefaults>
  <w:footnotePr>
    <w:footnote w:id="-1"/>
    <w:footnote w:id="0"/>
  </w:footnotePr>
  <w:endnotePr>
    <w:numFmt w:val="decimal"/>
    <w:endnote w:id="-1"/>
    <w:endnote w:id="0"/>
  </w:endnotePr>
  <w:compat/>
  <w:rsids>
    <w:rsidRoot w:val="00376C6D"/>
    <w:rsid w:val="002822C9"/>
    <w:rsid w:val="00323F0E"/>
    <w:rsid w:val="00376C6D"/>
    <w:rsid w:val="00502A55"/>
    <w:rsid w:val="00571BB9"/>
    <w:rsid w:val="005B1431"/>
    <w:rsid w:val="00671245"/>
    <w:rsid w:val="0076277A"/>
    <w:rsid w:val="008E17E4"/>
    <w:rsid w:val="0098035D"/>
    <w:rsid w:val="00A32ECB"/>
    <w:rsid w:val="00A4537F"/>
    <w:rsid w:val="00AD04F3"/>
    <w:rsid w:val="00BA1ED0"/>
    <w:rsid w:val="00DB0B92"/>
    <w:rsid w:val="00DB6C64"/>
    <w:rsid w:val="00F951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Titre1">
    <w:name w:val="heading 1"/>
    <w:basedOn w:val="Normal"/>
    <w:next w:val="Normal"/>
    <w:qFormat/>
    <w:pPr>
      <w:keepNext/>
      <w:numPr>
        <w:numId w:val="30"/>
      </w:numPr>
      <w:spacing w:before="240" w:after="60"/>
      <w:outlineLvl w:val="0"/>
    </w:pPr>
    <w:rPr>
      <w:b/>
      <w:i/>
      <w:sz w:val="28"/>
    </w:rPr>
  </w:style>
  <w:style w:type="paragraph" w:styleId="Titre2">
    <w:name w:val="heading 2"/>
    <w:basedOn w:val="Normal"/>
    <w:next w:val="Normal"/>
    <w:autoRedefine/>
    <w:qFormat/>
    <w:rsid w:val="00502A55"/>
    <w:pPr>
      <w:keepNext/>
      <w:numPr>
        <w:ilvl w:val="1"/>
        <w:numId w:val="30"/>
      </w:numPr>
      <w:spacing w:before="240" w:after="60"/>
      <w:outlineLvl w:val="1"/>
    </w:pPr>
    <w:rPr>
      <w:b/>
      <w:i/>
      <w:sz w:val="24"/>
    </w:rPr>
  </w:style>
  <w:style w:type="paragraph" w:styleId="Titre3">
    <w:name w:val="heading 3"/>
    <w:basedOn w:val="Normal"/>
    <w:next w:val="Normal"/>
    <w:qFormat/>
    <w:pPr>
      <w:keepNext/>
      <w:numPr>
        <w:ilvl w:val="2"/>
        <w:numId w:val="30"/>
      </w:numPr>
      <w:spacing w:before="240" w:after="60"/>
      <w:outlineLvl w:val="2"/>
    </w:pPr>
    <w:rPr>
      <w:b/>
      <w:bCs/>
      <w:sz w:val="22"/>
      <w:u w:val="single"/>
    </w:rPr>
  </w:style>
  <w:style w:type="paragraph" w:styleId="Titre4">
    <w:name w:val="heading 4"/>
    <w:basedOn w:val="Normal"/>
    <w:next w:val="Normal"/>
    <w:qFormat/>
    <w:pPr>
      <w:keepNext/>
      <w:numPr>
        <w:ilvl w:val="3"/>
        <w:numId w:val="30"/>
      </w:numPr>
      <w:spacing w:before="240" w:after="60"/>
      <w:outlineLvl w:val="3"/>
    </w:pPr>
    <w:rPr>
      <w:b/>
      <w:bCs/>
      <w:iCs/>
    </w:rPr>
  </w:style>
  <w:style w:type="paragraph" w:styleId="Titre5">
    <w:name w:val="heading 5"/>
    <w:basedOn w:val="Normal"/>
    <w:next w:val="Normal"/>
    <w:qFormat/>
    <w:pPr>
      <w:keepNext/>
      <w:numPr>
        <w:ilvl w:val="4"/>
        <w:numId w:val="30"/>
      </w:numPr>
      <w:jc w:val="both"/>
      <w:outlineLvl w:val="4"/>
    </w:pPr>
    <w:rPr>
      <w:bCs/>
      <w:i/>
      <w:u w:val="single"/>
    </w:rPr>
  </w:style>
  <w:style w:type="paragraph" w:styleId="Titre6">
    <w:name w:val="heading 6"/>
    <w:basedOn w:val="Normal"/>
    <w:next w:val="Normal"/>
    <w:qFormat/>
    <w:pPr>
      <w:numPr>
        <w:ilvl w:val="5"/>
        <w:numId w:val="30"/>
      </w:numPr>
      <w:spacing w:before="240" w:after="60"/>
      <w:outlineLvl w:val="5"/>
    </w:pPr>
    <w:rPr>
      <w:rFonts w:ascii="Helvetica" w:hAnsi="Helvetica"/>
      <w:i/>
      <w:sz w:val="22"/>
    </w:rPr>
  </w:style>
  <w:style w:type="paragraph" w:styleId="Titre7">
    <w:name w:val="heading 7"/>
    <w:basedOn w:val="Normal"/>
    <w:next w:val="Normal"/>
    <w:qFormat/>
    <w:pPr>
      <w:numPr>
        <w:ilvl w:val="6"/>
        <w:numId w:val="30"/>
      </w:numPr>
      <w:spacing w:before="240" w:after="60"/>
      <w:outlineLvl w:val="6"/>
    </w:pPr>
    <w:rPr>
      <w:rFonts w:ascii="Helvetica" w:hAnsi="Helvetica"/>
    </w:rPr>
  </w:style>
  <w:style w:type="paragraph" w:styleId="Titre8">
    <w:name w:val="heading 8"/>
    <w:basedOn w:val="Normal"/>
    <w:next w:val="Normal"/>
    <w:qFormat/>
    <w:pPr>
      <w:numPr>
        <w:ilvl w:val="7"/>
        <w:numId w:val="30"/>
      </w:numPr>
      <w:spacing w:before="240" w:after="60"/>
      <w:outlineLvl w:val="7"/>
    </w:pPr>
    <w:rPr>
      <w:rFonts w:ascii="Helvetica" w:hAnsi="Helvetica"/>
      <w:i/>
    </w:rPr>
  </w:style>
  <w:style w:type="paragraph" w:styleId="Titre9">
    <w:name w:val="heading 9"/>
    <w:basedOn w:val="Normal"/>
    <w:next w:val="Normal"/>
    <w:qFormat/>
    <w:pPr>
      <w:numPr>
        <w:ilvl w:val="8"/>
        <w:numId w:val="30"/>
      </w:numPr>
      <w:spacing w:before="240" w:after="60"/>
      <w:outlineLvl w:val="8"/>
    </w:pPr>
    <w:rPr>
      <w:rFonts w:ascii="Helvetica" w:hAnsi="Helvetica"/>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jc w:val="both"/>
    </w:pPr>
    <w:rPr>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paragraph" w:customStyle="1" w:styleId="P0R1">
    <w:name w:val="P0 R1"/>
    <w:basedOn w:val="P0"/>
    <w:pPr>
      <w:ind w:left="567" w:hanging="141"/>
    </w:pPr>
  </w:style>
  <w:style w:type="paragraph" w:customStyle="1" w:styleId="P0">
    <w:name w:val="P0"/>
    <w:basedOn w:val="Normal"/>
    <w:pPr>
      <w:ind w:left="142" w:hanging="142"/>
      <w:jc w:val="both"/>
    </w:pPr>
    <w:rPr>
      <w:sz w:val="24"/>
    </w:rPr>
  </w:style>
  <w:style w:type="paragraph" w:customStyle="1" w:styleId="P0R2">
    <w:name w:val="P0 R2"/>
    <w:basedOn w:val="P0R1"/>
    <w:pPr>
      <w:ind w:left="993" w:hanging="142"/>
    </w:pPr>
  </w:style>
  <w:style w:type="paragraph" w:customStyle="1" w:styleId="BodyTextIndent2">
    <w:name w:val="Body Text Indent 2"/>
    <w:basedOn w:val="Normal"/>
    <w:pPr>
      <w:ind w:left="106" w:hanging="106"/>
      <w:jc w:val="both"/>
    </w:pPr>
    <w:rPr>
      <w:sz w:val="24"/>
    </w:rPr>
  </w:style>
  <w:style w:type="paragraph" w:styleId="Notedebasdepage">
    <w:name w:val="footnote text"/>
    <w:basedOn w:val="Normal"/>
    <w:semiHidden/>
    <w:pPr>
      <w:jc w:val="both"/>
    </w:pPr>
    <w:rPr>
      <w:sz w:val="24"/>
    </w:rPr>
  </w:style>
  <w:style w:type="paragraph" w:customStyle="1" w:styleId="NormalM">
    <w:name w:val="NormalM"/>
    <w:basedOn w:val="Normal"/>
    <w:pPr>
      <w:tabs>
        <w:tab w:val="left" w:pos="1584"/>
        <w:tab w:val="left" w:pos="1728"/>
      </w:tabs>
      <w:jc w:val="center"/>
    </w:pPr>
  </w:style>
  <w:style w:type="paragraph" w:styleId="Corpsdetexte">
    <w:name w:val="Body Text"/>
    <w:basedOn w:val="Normal"/>
    <w:pPr>
      <w:jc w:val="both"/>
    </w:pPr>
  </w:style>
  <w:style w:type="paragraph" w:styleId="Lgende">
    <w:name w:val="caption"/>
    <w:basedOn w:val="Normal"/>
    <w:next w:val="Normal"/>
    <w:qFormat/>
    <w:pPr>
      <w:jc w:val="center"/>
    </w:pPr>
    <w:rPr>
      <w:b/>
      <w:sz w:val="28"/>
    </w:rPr>
  </w:style>
  <w:style w:type="paragraph" w:styleId="TM1">
    <w:name w:val="toc 1"/>
    <w:basedOn w:val="Normal"/>
    <w:next w:val="Normal"/>
    <w:autoRedefine/>
    <w:semiHidden/>
    <w:pPr>
      <w:tabs>
        <w:tab w:val="left" w:pos="400"/>
        <w:tab w:val="right" w:leader="dot" w:pos="9629"/>
      </w:tabs>
    </w:pPr>
    <w:rPr>
      <w:b/>
      <w:i/>
      <w:noProof/>
      <w:sz w:val="24"/>
    </w:rPr>
  </w:style>
  <w:style w:type="paragraph" w:customStyle="1" w:styleId="titreprambule">
    <w:name w:val="titre préambule"/>
    <w:basedOn w:val="Normal"/>
    <w:pPr>
      <w:ind w:left="567" w:firstLine="284"/>
      <w:jc w:val="center"/>
    </w:pPr>
    <w:rPr>
      <w:b/>
      <w:i/>
      <w:sz w:val="28"/>
    </w:rPr>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Titre">
    <w:name w:val="Title"/>
    <w:basedOn w:val="Normal"/>
    <w:qFormat/>
    <w:pPr>
      <w:jc w:val="center"/>
    </w:pPr>
    <w:rPr>
      <w:rFonts w:ascii="Times New Roman" w:hAnsi="Times New Roman"/>
      <w:b/>
      <w:sz w:val="28"/>
    </w:rPr>
  </w:style>
  <w:style w:type="paragraph" w:styleId="Corpsdetexte2">
    <w:name w:val="Body Text 2"/>
    <w:basedOn w:val="Normal"/>
    <w:pPr>
      <w:jc w:val="both"/>
    </w:pPr>
    <w:rPr>
      <w:b/>
      <w:bCs/>
    </w:rPr>
  </w:style>
  <w:style w:type="paragraph" w:styleId="Corpsdetexte3">
    <w:name w:val="Body Text 3"/>
    <w:basedOn w:val="Normal"/>
    <w:pPr>
      <w:jc w:val="both"/>
    </w:pPr>
    <w:rPr>
      <w:color w:val="FF0000"/>
    </w:rPr>
  </w:style>
  <w:style w:type="paragraph" w:styleId="Normalcentr">
    <w:name w:val="Block Text"/>
    <w:basedOn w:val="Normal"/>
    <w:pPr>
      <w:ind w:left="1134" w:right="1134"/>
      <w:jc w:val="center"/>
    </w:pPr>
    <w:rPr>
      <w:sz w:val="24"/>
    </w:rPr>
  </w:style>
  <w:style w:type="paragraph" w:styleId="Retraitcorpsdetexte">
    <w:name w:val="Body Text Indent"/>
    <w:basedOn w:val="Normal"/>
    <w:pPr>
      <w:ind w:left="709"/>
      <w:jc w:val="both"/>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Notedefin">
    <w:name w:val="endnote text"/>
    <w:basedOn w:val="Normal"/>
    <w:semiHidden/>
  </w:style>
  <w:style w:type="character" w:styleId="Appeldenotedefin">
    <w:name w:val="endnote reference"/>
    <w:basedOn w:val="Policepardfaut"/>
    <w:semiHidden/>
    <w:rPr>
      <w:rFonts w:ascii="Helvetica" w:hAnsi="Helvetica"/>
    </w:rPr>
  </w:style>
  <w:style w:type="paragraph" w:styleId="Retraitcorpsdetexte2">
    <w:name w:val="Body Text Indent 2"/>
    <w:basedOn w:val="Normal"/>
    <w:pPr>
      <w:ind w:left="1701"/>
    </w:pPr>
  </w:style>
  <w:style w:type="paragraph" w:styleId="Retraitcorpsdetexte3">
    <w:name w:val="Body Text Indent 3"/>
    <w:basedOn w:val="Normal"/>
    <w:pPr>
      <w:ind w:left="709" w:hanging="283"/>
      <w:jc w:val="both"/>
    </w:pPr>
  </w:style>
  <w:style w:type="paragraph" w:styleId="Textedebulles">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5271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Procédure générale de revue de conception</vt:lpstr>
    </vt:vector>
  </TitlesOfParts>
  <Company>Microsoft</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générale de revue de conception</dc:title>
  <dc:subject>revue de conception</dc:subject>
  <dc:creator>SOULATGES</dc:creator>
  <cp:keywords>sûreté nucléaire, exploitation, INB 113</cp:keywords>
  <dc:description>disposition du Laboratoire GANIL en matière de revue de conception</dc:description>
  <cp:lastModifiedBy>legrand</cp:lastModifiedBy>
  <cp:revision>2</cp:revision>
  <cp:lastPrinted>2010-10-08T08:42:00Z</cp:lastPrinted>
  <dcterms:created xsi:type="dcterms:W3CDTF">2013-04-26T07:54:00Z</dcterms:created>
  <dcterms:modified xsi:type="dcterms:W3CDTF">2013-04-26T07:54:00Z</dcterms:modified>
</cp:coreProperties>
</file>