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A" w:rsidRPr="00BD5D2B" w:rsidRDefault="008B5CDA" w:rsidP="00427CD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E726C">
        <w:rPr>
          <w:rFonts w:ascii="Arial Narrow" w:hAnsi="Arial Narrow"/>
          <w:b/>
          <w:sz w:val="24"/>
          <w:szCs w:val="24"/>
          <w:u w:val="single"/>
        </w:rPr>
        <w:t>Objet</w:t>
      </w:r>
      <w:r w:rsidRPr="008E726C">
        <w:rPr>
          <w:rFonts w:ascii="Arial Narrow" w:hAnsi="Arial Narrow"/>
          <w:sz w:val="24"/>
          <w:szCs w:val="24"/>
          <w:u w:val="single"/>
        </w:rPr>
        <w:t> :</w:t>
      </w:r>
      <w:r w:rsidRPr="00BD5D2B">
        <w:rPr>
          <w:rFonts w:ascii="Arial Narrow" w:hAnsi="Arial Narrow"/>
          <w:sz w:val="24"/>
          <w:szCs w:val="24"/>
        </w:rPr>
        <w:t xml:space="preserve"> </w:t>
      </w:r>
      <w:r w:rsidR="001366DB">
        <w:rPr>
          <w:rFonts w:ascii="Arial Narrow" w:hAnsi="Arial Narrow"/>
          <w:sz w:val="24"/>
          <w:szCs w:val="24"/>
        </w:rPr>
        <w:t>Prévention des risques liés aux nanomatériaux</w:t>
      </w:r>
    </w:p>
    <w:p w:rsidR="00844573" w:rsidRDefault="00844573" w:rsidP="00427CDC">
      <w:pPr>
        <w:spacing w:after="0" w:line="240" w:lineRule="auto"/>
        <w:rPr>
          <w:rFonts w:ascii="Arial Narrow" w:hAnsi="Arial Narrow"/>
        </w:rPr>
      </w:pPr>
    </w:p>
    <w:p w:rsidR="00CF60EC" w:rsidRPr="004F447C" w:rsidRDefault="00CF60EC" w:rsidP="00CF60EC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color w:val="1F497D" w:themeColor="text2"/>
        </w:rPr>
      </w:pPr>
      <w:r w:rsidRPr="004F447C">
        <w:rPr>
          <w:rFonts w:ascii="Arial Narrow" w:hAnsi="Arial Narrow"/>
          <w:b/>
          <w:color w:val="1F497D" w:themeColor="text2"/>
        </w:rPr>
        <w:t>Définition et réglementation</w:t>
      </w:r>
    </w:p>
    <w:p w:rsidR="00CF60EC" w:rsidRPr="00AB5A9E" w:rsidRDefault="00CF60EC" w:rsidP="004F447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F60EC" w:rsidRDefault="00CF60EC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 nanomatériau est un matériau dont </w:t>
      </w:r>
      <w:r w:rsidRPr="00E857E9">
        <w:rPr>
          <w:rFonts w:ascii="Arial Narrow" w:hAnsi="Arial Narrow"/>
          <w:b/>
        </w:rPr>
        <w:t>au moins une dimension est comprise entre 1 et 100 nanomètres (nm)</w:t>
      </w:r>
      <w:r>
        <w:rPr>
          <w:rFonts w:ascii="Arial Narrow" w:hAnsi="Arial Narrow"/>
        </w:rPr>
        <w:t xml:space="preserve"> ou qui possède une structure interne ou de surface à l’échelle nanométrique. Il existe deux grandes familles : </w:t>
      </w:r>
    </w:p>
    <w:p w:rsidR="00CF60EC" w:rsidRDefault="00CF60EC" w:rsidP="00CF60E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2506170" cy="1359017"/>
            <wp:effectExtent l="19050" t="0" r="843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32" t="14409" r="37445" b="5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70" cy="135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46" w:rsidRDefault="009E6846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Cependant, en termes d’évaluation des risques professionnels, il est nécessaire de considérer les objets dont une des dimensions est inférieure à 1000 nm et les matériaux susceptibles de </w:t>
      </w:r>
      <w:proofErr w:type="spellStart"/>
      <w:r>
        <w:rPr>
          <w:rFonts w:ascii="Arial Narrow" w:hAnsi="Arial Narrow"/>
        </w:rPr>
        <w:t>relarguer</w:t>
      </w:r>
      <w:proofErr w:type="spellEnd"/>
      <w:r>
        <w:rPr>
          <w:rFonts w:ascii="Arial Narrow" w:hAnsi="Arial Narrow"/>
        </w:rPr>
        <w:t xml:space="preserve"> des substances à l’état </w:t>
      </w:r>
      <w:proofErr w:type="spellStart"/>
      <w:r>
        <w:rPr>
          <w:rFonts w:ascii="Arial Narrow" w:hAnsi="Arial Narrow"/>
        </w:rPr>
        <w:t>nanoparticulaire</w:t>
      </w:r>
      <w:proofErr w:type="spellEnd"/>
      <w:r>
        <w:rPr>
          <w:rFonts w:ascii="Arial Narrow" w:hAnsi="Arial Narrow"/>
        </w:rPr>
        <w:t xml:space="preserve"> dans les conditions normales ou prévisibles d’utilisation. </w:t>
      </w:r>
    </w:p>
    <w:p w:rsidR="009E6846" w:rsidRDefault="009E6846" w:rsidP="004F447C">
      <w:pPr>
        <w:spacing w:after="0" w:line="240" w:lineRule="auto"/>
        <w:jc w:val="both"/>
        <w:rPr>
          <w:rFonts w:ascii="Arial Narrow" w:hAnsi="Arial Narrow"/>
        </w:rPr>
      </w:pPr>
    </w:p>
    <w:p w:rsidR="009E6846" w:rsidRDefault="00117018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Selon le </w:t>
      </w:r>
      <w:r w:rsidRPr="00E857E9">
        <w:rPr>
          <w:rFonts w:ascii="Arial Narrow" w:hAnsi="Arial Narrow"/>
        </w:rPr>
        <w:t>code du travail</w:t>
      </w:r>
      <w:r>
        <w:rPr>
          <w:rFonts w:ascii="Arial Narrow" w:hAnsi="Arial Narrow"/>
        </w:rPr>
        <w:t xml:space="preserve">, les nanomatériaux sont des </w:t>
      </w:r>
      <w:r w:rsidRPr="00E857E9">
        <w:rPr>
          <w:rFonts w:ascii="Arial Narrow" w:hAnsi="Arial Narrow"/>
          <w:b/>
        </w:rPr>
        <w:t>agents chimiques</w:t>
      </w:r>
      <w:r>
        <w:rPr>
          <w:rFonts w:ascii="Arial Narrow" w:hAnsi="Arial Narrow"/>
        </w:rPr>
        <w:t>, ils sont donc soumis à la réglementation visant à assurer la prévention du risque chimique</w:t>
      </w:r>
      <w:r w:rsidR="00D6503D">
        <w:rPr>
          <w:rFonts w:ascii="Arial Narrow" w:hAnsi="Arial Narrow"/>
        </w:rPr>
        <w:t xml:space="preserve"> </w:t>
      </w:r>
      <w:r w:rsidR="00D6503D" w:rsidRPr="00D6503D">
        <w:rPr>
          <w:rFonts w:ascii="Arial Narrow" w:hAnsi="Arial Narrow"/>
        </w:rPr>
        <w:t>(notamment en matière de substitution, de protection collective, de formation et d’information des salariés, ou de suivi médical)</w:t>
      </w:r>
      <w:r>
        <w:rPr>
          <w:rFonts w:ascii="Arial Narrow" w:hAnsi="Arial Narrow"/>
        </w:rPr>
        <w:t xml:space="preserve">. Les Valeurs Limites d’Exposition professionnelle de la législation française ou européenne ne s’appliquent pas en l’état aux nanomatériaux. </w:t>
      </w:r>
    </w:p>
    <w:p w:rsidR="00117018" w:rsidRDefault="00117018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partir du 1</w:t>
      </w:r>
      <w:r w:rsidRPr="00117018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janvier 2013, le code de l’environnement impose une </w:t>
      </w:r>
      <w:r w:rsidRPr="00E857E9">
        <w:rPr>
          <w:rFonts w:ascii="Arial Narrow" w:hAnsi="Arial Narrow"/>
          <w:b/>
        </w:rPr>
        <w:t>déclaration pour la fabrication, l’importation ou la mise sur le marché</w:t>
      </w:r>
      <w:r>
        <w:rPr>
          <w:rFonts w:ascii="Arial Narrow" w:hAnsi="Arial Narrow"/>
        </w:rPr>
        <w:t xml:space="preserve"> de substance à l’état </w:t>
      </w:r>
      <w:proofErr w:type="spellStart"/>
      <w:r>
        <w:rPr>
          <w:rFonts w:ascii="Arial Narrow" w:hAnsi="Arial Narrow"/>
        </w:rPr>
        <w:t>nanoparticulaire</w:t>
      </w:r>
      <w:proofErr w:type="spellEnd"/>
      <w:r>
        <w:rPr>
          <w:rFonts w:ascii="Arial Narrow" w:hAnsi="Arial Narrow"/>
        </w:rPr>
        <w:t xml:space="preserve"> ou de matériaux susceptibles d’en rejeter. </w:t>
      </w:r>
    </w:p>
    <w:p w:rsidR="009E6846" w:rsidRDefault="009E6846" w:rsidP="004F447C">
      <w:pPr>
        <w:spacing w:after="0" w:line="240" w:lineRule="auto"/>
        <w:jc w:val="both"/>
        <w:rPr>
          <w:rFonts w:ascii="Arial Narrow" w:hAnsi="Arial Narrow"/>
        </w:rPr>
      </w:pPr>
    </w:p>
    <w:p w:rsidR="001366DB" w:rsidRPr="004F447C" w:rsidRDefault="00D6503D" w:rsidP="00D6503D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color w:val="1F497D" w:themeColor="text2"/>
        </w:rPr>
      </w:pPr>
      <w:r w:rsidRPr="004F447C">
        <w:rPr>
          <w:rFonts w:ascii="Arial Narrow" w:hAnsi="Arial Narrow"/>
          <w:b/>
          <w:color w:val="1F497D" w:themeColor="text2"/>
        </w:rPr>
        <w:t>Dangers potentiels pour la santé et la sécurité</w:t>
      </w:r>
    </w:p>
    <w:p w:rsidR="00D6503D" w:rsidRPr="00AB5A9E" w:rsidRDefault="00D6503D" w:rsidP="004F447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6503D" w:rsidRPr="004F447C" w:rsidRDefault="004F447C" w:rsidP="00D6503D">
      <w:pPr>
        <w:pStyle w:val="Paragraphedeliste"/>
        <w:numPr>
          <w:ilvl w:val="1"/>
          <w:numId w:val="7"/>
        </w:numPr>
        <w:spacing w:after="0" w:line="240" w:lineRule="auto"/>
        <w:rPr>
          <w:rFonts w:ascii="Arial Narrow" w:hAnsi="Arial Narrow"/>
          <w:color w:val="1F497D" w:themeColor="text2"/>
          <w:u w:val="single"/>
        </w:rPr>
      </w:pPr>
      <w:r>
        <w:rPr>
          <w:rFonts w:ascii="Arial Narrow" w:hAnsi="Arial Narrow"/>
          <w:color w:val="1F497D" w:themeColor="text2"/>
          <w:u w:val="single"/>
        </w:rPr>
        <w:t>V</w:t>
      </w:r>
      <w:r w:rsidR="00D6503D" w:rsidRPr="004F447C">
        <w:rPr>
          <w:rFonts w:ascii="Arial Narrow" w:hAnsi="Arial Narrow"/>
          <w:color w:val="1F497D" w:themeColor="text2"/>
          <w:u w:val="single"/>
        </w:rPr>
        <w:t>oies de pénétrations et dangers pour la santé</w:t>
      </w:r>
    </w:p>
    <w:p w:rsidR="00D6503D" w:rsidRPr="00AB5A9E" w:rsidRDefault="00D6503D" w:rsidP="004F447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6503D" w:rsidRPr="00D6503D" w:rsidRDefault="00D6503D" w:rsidP="004F447C">
      <w:p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>L’appareil respiratoire</w:t>
      </w:r>
      <w:r w:rsidRPr="00D6503D">
        <w:rPr>
          <w:rFonts w:ascii="Arial Narrow" w:hAnsi="Arial Narrow"/>
        </w:rPr>
        <w:t xml:space="preserve"> constitue la voie principale de pénétration des nano-objets dans l’organisme humain. Ils peuvent également se retrouver dans le système gastro-intestinal après avoir été ingérés ou après déglutition lorsqu’ils ont été inhalés. </w:t>
      </w:r>
      <w:r w:rsidRPr="00E857E9">
        <w:rPr>
          <w:rFonts w:ascii="Arial Narrow" w:hAnsi="Arial Narrow"/>
          <w:b/>
        </w:rPr>
        <w:t>La pénétration à travers la peau</w:t>
      </w:r>
      <w:r w:rsidRPr="00D6503D">
        <w:rPr>
          <w:rFonts w:ascii="Arial Narrow" w:hAnsi="Arial Narrow"/>
        </w:rPr>
        <w:t xml:space="preserve"> des nano-objets est une hypothèse encore à l’étude.</w:t>
      </w:r>
    </w:p>
    <w:p w:rsidR="00D6503D" w:rsidRPr="00D6503D" w:rsidRDefault="00D6503D" w:rsidP="004F447C">
      <w:pPr>
        <w:spacing w:after="0" w:line="240" w:lineRule="auto"/>
        <w:jc w:val="both"/>
        <w:rPr>
          <w:rFonts w:ascii="Arial Narrow" w:hAnsi="Arial Narrow"/>
        </w:rPr>
      </w:pPr>
      <w:r w:rsidRPr="00D6503D">
        <w:rPr>
          <w:rFonts w:ascii="Arial Narrow" w:hAnsi="Arial Narrow"/>
        </w:rPr>
        <w:t xml:space="preserve">Les connaissances sur la toxicité des nano-objets demeurent lacunaires. Néanmoins, elles indiquent les objets nanométriques présentent une </w:t>
      </w:r>
      <w:r w:rsidRPr="00E857E9">
        <w:rPr>
          <w:rFonts w:ascii="Arial Narrow" w:hAnsi="Arial Narrow"/>
          <w:b/>
        </w:rPr>
        <w:t>toxicité plus grande et sont à l’origine d’effets inflammatoires</w:t>
      </w:r>
      <w:r w:rsidRPr="00D6503D">
        <w:rPr>
          <w:rFonts w:ascii="Arial Narrow" w:hAnsi="Arial Narrow"/>
        </w:rPr>
        <w:t xml:space="preserve"> plus importants que les objets micro et macroscopiq</w:t>
      </w:r>
      <w:r w:rsidR="00FA11BD">
        <w:rPr>
          <w:rFonts w:ascii="Arial Narrow" w:hAnsi="Arial Narrow"/>
        </w:rPr>
        <w:t xml:space="preserve">ues et de même nature chimique. Comme pour les produits chimiques, les informations sont disponibles dans la </w:t>
      </w:r>
      <w:r w:rsidR="00FA11BD" w:rsidRPr="00E857E9">
        <w:rPr>
          <w:rFonts w:ascii="Arial Narrow" w:hAnsi="Arial Narrow"/>
          <w:b/>
        </w:rPr>
        <w:t>Fiche de Données de Sécurité</w:t>
      </w:r>
      <w:r w:rsidR="00FA11BD">
        <w:rPr>
          <w:rFonts w:ascii="Arial Narrow" w:hAnsi="Arial Narrow"/>
        </w:rPr>
        <w:t xml:space="preserve"> des nanomatériaux. </w:t>
      </w:r>
    </w:p>
    <w:p w:rsidR="00D6503D" w:rsidRDefault="00D6503D" w:rsidP="004F447C">
      <w:pPr>
        <w:spacing w:after="0" w:line="240" w:lineRule="auto"/>
        <w:jc w:val="both"/>
        <w:rPr>
          <w:rFonts w:ascii="Arial Narrow" w:hAnsi="Arial Narrow"/>
        </w:rPr>
      </w:pPr>
    </w:p>
    <w:p w:rsidR="00D6503D" w:rsidRPr="004F447C" w:rsidRDefault="00D6503D" w:rsidP="00D6503D">
      <w:pPr>
        <w:pStyle w:val="Paragraphedeliste"/>
        <w:numPr>
          <w:ilvl w:val="1"/>
          <w:numId w:val="7"/>
        </w:numPr>
        <w:spacing w:after="0" w:line="240" w:lineRule="auto"/>
        <w:rPr>
          <w:rFonts w:ascii="Arial Narrow" w:hAnsi="Arial Narrow"/>
          <w:color w:val="1F497D" w:themeColor="text2"/>
          <w:u w:val="single"/>
        </w:rPr>
      </w:pPr>
      <w:r w:rsidRPr="004F447C">
        <w:rPr>
          <w:rFonts w:ascii="Arial Narrow" w:hAnsi="Arial Narrow"/>
          <w:color w:val="1F497D" w:themeColor="text2"/>
          <w:u w:val="single"/>
        </w:rPr>
        <w:t>Incendie –</w:t>
      </w:r>
      <w:r w:rsidR="007F5626">
        <w:rPr>
          <w:rFonts w:ascii="Arial Narrow" w:hAnsi="Arial Narrow"/>
          <w:color w:val="1F497D" w:themeColor="text2"/>
          <w:u w:val="single"/>
        </w:rPr>
        <w:t xml:space="preserve"> </w:t>
      </w:r>
      <w:r w:rsidRPr="004F447C">
        <w:rPr>
          <w:rFonts w:ascii="Arial Narrow" w:hAnsi="Arial Narrow"/>
          <w:color w:val="1F497D" w:themeColor="text2"/>
          <w:u w:val="single"/>
        </w:rPr>
        <w:t>explosion</w:t>
      </w:r>
    </w:p>
    <w:p w:rsidR="00D6503D" w:rsidRPr="00AB5A9E" w:rsidRDefault="00D6503D" w:rsidP="004F447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1B7B2B" w:rsidRDefault="001B7B2B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Peu de données sur les risques d’incendie et d’explosion des nanomatériaux sont aujourd’hui disponibles. Cependant, le comportement des nanomatériaux peut être </w:t>
      </w:r>
      <w:r w:rsidRPr="00E857E9">
        <w:rPr>
          <w:rFonts w:ascii="Arial Narrow" w:hAnsi="Arial Narrow"/>
          <w:b/>
        </w:rPr>
        <w:t>rapproché de celui des poudres fines et ultrafines</w:t>
      </w:r>
      <w:r>
        <w:rPr>
          <w:rFonts w:ascii="Arial Narrow" w:hAnsi="Arial Narrow"/>
        </w:rPr>
        <w:t xml:space="preserve"> en précisant que la violence et la facilité de déclenchement d’une explosion ont tendance à augmenter à mesure que la taille des particules diminue. </w:t>
      </w:r>
    </w:p>
    <w:p w:rsidR="00D6503D" w:rsidRDefault="00D6503D" w:rsidP="004F447C">
      <w:pPr>
        <w:spacing w:after="0" w:line="240" w:lineRule="auto"/>
        <w:jc w:val="both"/>
        <w:rPr>
          <w:rFonts w:ascii="Arial Narrow" w:hAnsi="Arial Narrow"/>
        </w:rPr>
      </w:pPr>
    </w:p>
    <w:p w:rsidR="00D6503D" w:rsidRPr="004F447C" w:rsidRDefault="00D6503D" w:rsidP="00D6503D">
      <w:pPr>
        <w:pStyle w:val="Paragraphedeliste"/>
        <w:numPr>
          <w:ilvl w:val="1"/>
          <w:numId w:val="7"/>
        </w:numPr>
        <w:spacing w:after="0" w:line="240" w:lineRule="auto"/>
        <w:rPr>
          <w:rFonts w:ascii="Arial Narrow" w:hAnsi="Arial Narrow"/>
          <w:color w:val="1F497D" w:themeColor="text2"/>
          <w:u w:val="single"/>
        </w:rPr>
      </w:pPr>
      <w:r w:rsidRPr="004F447C">
        <w:rPr>
          <w:rFonts w:ascii="Arial Narrow" w:hAnsi="Arial Narrow"/>
          <w:color w:val="1F497D" w:themeColor="text2"/>
          <w:u w:val="single"/>
        </w:rPr>
        <w:t>Exposition professionnelle</w:t>
      </w:r>
    </w:p>
    <w:p w:rsidR="00D6503D" w:rsidRPr="00AB5A9E" w:rsidRDefault="00D6503D" w:rsidP="004F447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6503D" w:rsidRDefault="00D6503D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principaux paramètres qui influencent l’exposition professionnelle sont : </w:t>
      </w:r>
    </w:p>
    <w:p w:rsidR="00D6503D" w:rsidRDefault="00D6503D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La </w:t>
      </w:r>
      <w:r w:rsidRPr="00E857E9">
        <w:rPr>
          <w:rFonts w:ascii="Arial Narrow" w:hAnsi="Arial Narrow"/>
          <w:b/>
        </w:rPr>
        <w:t>nature des nanomatériaux</w:t>
      </w:r>
      <w:r>
        <w:rPr>
          <w:rFonts w:ascii="Arial Narrow" w:hAnsi="Arial Narrow"/>
        </w:rPr>
        <w:t xml:space="preserve"> (poudres, suspensions, liquides, …)</w:t>
      </w:r>
    </w:p>
    <w:p w:rsidR="00D6503D" w:rsidRDefault="00D6503D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méthodes de fabrication et d’utilisation mise en œuvre </w:t>
      </w:r>
    </w:p>
    <w:p w:rsidR="00B8708A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Les quantités manipulées et la durée des travaux</w:t>
      </w:r>
    </w:p>
    <w:p w:rsidR="00B8708A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 capacité des produits manipulés à se retrouver dans l’air ou sur les surfaces de travail (</w:t>
      </w:r>
      <w:r w:rsidRPr="00E857E9">
        <w:rPr>
          <w:rFonts w:ascii="Arial Narrow" w:hAnsi="Arial Narrow"/>
          <w:b/>
        </w:rPr>
        <w:t>formation d’aérosols ou de gouttelettes</w:t>
      </w:r>
      <w:r>
        <w:rPr>
          <w:rFonts w:ascii="Arial Narrow" w:hAnsi="Arial Narrow"/>
        </w:rPr>
        <w:t>)</w:t>
      </w:r>
    </w:p>
    <w:p w:rsidR="00B8708A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Les moyens de protection mis en place (</w:t>
      </w:r>
      <w:r w:rsidRPr="00E857E9">
        <w:rPr>
          <w:rFonts w:ascii="Arial Narrow" w:hAnsi="Arial Narrow"/>
          <w:b/>
        </w:rPr>
        <w:t>travail en vase clos, ventilation adaptée</w:t>
      </w:r>
      <w:r>
        <w:rPr>
          <w:rFonts w:ascii="Arial Narrow" w:hAnsi="Arial Narrow"/>
        </w:rPr>
        <w:t>, …)</w:t>
      </w:r>
    </w:p>
    <w:p w:rsidR="00B8708A" w:rsidRDefault="00B8708A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Exemples de situation d’exposition : </w:t>
      </w:r>
    </w:p>
    <w:p w:rsidR="00B8708A" w:rsidRPr="004E6A29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4E6A29">
        <w:rPr>
          <w:rFonts w:ascii="Arial Narrow" w:hAnsi="Arial Narrow"/>
        </w:rPr>
        <w:t xml:space="preserve">Transfert, échantillonnage, pesée, mise en suspension et </w:t>
      </w:r>
      <w:r w:rsidRPr="00E857E9">
        <w:rPr>
          <w:rFonts w:ascii="Arial Narrow" w:hAnsi="Arial Narrow"/>
          <w:b/>
        </w:rPr>
        <w:t>incorporation dans une matrice minérale ou organique</w:t>
      </w:r>
      <w:r w:rsidRPr="004E6A29">
        <w:rPr>
          <w:rFonts w:ascii="Arial Narrow" w:hAnsi="Arial Narrow"/>
        </w:rPr>
        <w:t xml:space="preserve"> (formation d’aérosols).</w:t>
      </w:r>
    </w:p>
    <w:p w:rsidR="00B8708A" w:rsidRPr="004E6A29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 xml:space="preserve">Transvasement, agitation, mélange et séchage d’une suspension liquide </w:t>
      </w:r>
      <w:r w:rsidRPr="004E6A29">
        <w:rPr>
          <w:rFonts w:ascii="Arial Narrow" w:hAnsi="Arial Narrow"/>
        </w:rPr>
        <w:t>contenant des nanomatériaux (formation de gouttelettes).</w:t>
      </w:r>
    </w:p>
    <w:p w:rsidR="00B8708A" w:rsidRPr="00E857E9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</w:rPr>
      </w:pPr>
      <w:r w:rsidRPr="00E857E9">
        <w:rPr>
          <w:rFonts w:ascii="Arial Narrow" w:hAnsi="Arial Narrow"/>
          <w:b/>
        </w:rPr>
        <w:t>Chargement ou vidange d’un réacteur</w:t>
      </w:r>
    </w:p>
    <w:p w:rsidR="00B8708A" w:rsidRPr="004E6A29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 xml:space="preserve">Usinage de </w:t>
      </w:r>
      <w:proofErr w:type="spellStart"/>
      <w:r w:rsidRPr="00E857E9">
        <w:rPr>
          <w:rFonts w:ascii="Arial Narrow" w:hAnsi="Arial Narrow"/>
          <w:b/>
        </w:rPr>
        <w:t>nanocomposites</w:t>
      </w:r>
      <w:proofErr w:type="spellEnd"/>
      <w:r w:rsidRPr="004E6A29">
        <w:rPr>
          <w:rFonts w:ascii="Arial Narrow" w:hAnsi="Arial Narrow"/>
        </w:rPr>
        <w:t> : découpe, polissage, ponçage…</w:t>
      </w:r>
    </w:p>
    <w:p w:rsidR="00B8708A" w:rsidRPr="004E6A29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4E6A29">
        <w:rPr>
          <w:rFonts w:ascii="Arial Narrow" w:hAnsi="Arial Narrow"/>
        </w:rPr>
        <w:t>Conditionnement, stockage et transport des produits.</w:t>
      </w:r>
    </w:p>
    <w:p w:rsidR="00B8708A" w:rsidRPr="004E6A29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>Nettoyage, des équipements et des locaux</w:t>
      </w:r>
      <w:r w:rsidRPr="004E6A29">
        <w:rPr>
          <w:rFonts w:ascii="Arial Narrow" w:hAnsi="Arial Narrow"/>
        </w:rPr>
        <w:t> : nettoyage d’une paillasse, changement de filtres usagés…</w:t>
      </w:r>
    </w:p>
    <w:p w:rsidR="00B8708A" w:rsidRPr="004E6A29" w:rsidRDefault="00B8708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4E6A29">
        <w:rPr>
          <w:rFonts w:ascii="Arial Narrow" w:hAnsi="Arial Narrow"/>
        </w:rPr>
        <w:t>Fonctionnements dégradés ou incidents : fuite d’un réacteur ou d’un système clos.</w:t>
      </w:r>
    </w:p>
    <w:p w:rsidR="00B8708A" w:rsidRPr="00B8708A" w:rsidRDefault="00B8708A" w:rsidP="004F447C">
      <w:pPr>
        <w:spacing w:after="0" w:line="240" w:lineRule="auto"/>
        <w:jc w:val="both"/>
        <w:rPr>
          <w:rFonts w:ascii="Arial Narrow" w:hAnsi="Arial Narrow"/>
        </w:rPr>
      </w:pPr>
    </w:p>
    <w:p w:rsidR="00D6503D" w:rsidRPr="004F447C" w:rsidRDefault="001B7B2B" w:rsidP="001B7B2B">
      <w:pPr>
        <w:pStyle w:val="Paragraphedeliste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color w:val="1F497D" w:themeColor="text2"/>
        </w:rPr>
      </w:pPr>
      <w:r w:rsidRPr="004F447C">
        <w:rPr>
          <w:rFonts w:ascii="Arial Narrow" w:hAnsi="Arial Narrow"/>
          <w:b/>
          <w:color w:val="1F497D" w:themeColor="text2"/>
        </w:rPr>
        <w:t>Mesures de prévention</w:t>
      </w:r>
    </w:p>
    <w:p w:rsidR="001366DB" w:rsidRPr="00AB5A9E" w:rsidRDefault="001366DB" w:rsidP="004F447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A11BD" w:rsidRPr="009602BC" w:rsidRDefault="00C8562A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10795</wp:posOffset>
            </wp:positionV>
            <wp:extent cx="895350" cy="82613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312" t="59250" r="47108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1BD" w:rsidRPr="00E857E9">
        <w:rPr>
          <w:rFonts w:ascii="Arial Narrow" w:hAnsi="Arial Narrow"/>
          <w:b/>
        </w:rPr>
        <w:t>Substitution des nanomatériaux</w:t>
      </w:r>
      <w:r w:rsidR="00FA11BD" w:rsidRPr="009602BC">
        <w:rPr>
          <w:rFonts w:ascii="Arial Narrow" w:hAnsi="Arial Narrow"/>
        </w:rPr>
        <w:t xml:space="preserve"> par des substances dont les effets sur la santé sont moindre</w:t>
      </w:r>
      <w:r w:rsidR="009602BC">
        <w:rPr>
          <w:rFonts w:ascii="Arial Narrow" w:hAnsi="Arial Narrow"/>
        </w:rPr>
        <w:t>s</w:t>
      </w:r>
    </w:p>
    <w:p w:rsidR="001366DB" w:rsidRPr="009602BC" w:rsidRDefault="009602BC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>Manipuler les nanomatériaux</w:t>
      </w:r>
      <w:r w:rsidR="001366DB" w:rsidRPr="00E857E9">
        <w:rPr>
          <w:rFonts w:ascii="Arial Narrow" w:hAnsi="Arial Narrow"/>
          <w:b/>
        </w:rPr>
        <w:t xml:space="preserve"> sous forme de suspension liquide ou de gel</w:t>
      </w:r>
      <w:r w:rsidR="001366DB" w:rsidRPr="009602BC">
        <w:rPr>
          <w:rFonts w:ascii="Arial Narrow" w:hAnsi="Arial Narrow"/>
        </w:rPr>
        <w:t xml:space="preserve"> plutôt qu’à l’état de poudre</w:t>
      </w:r>
    </w:p>
    <w:p w:rsidR="00C8562A" w:rsidRPr="00C8562A" w:rsidRDefault="001366DB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>Délimiter, signaliser et restreindre la zone de travail</w:t>
      </w:r>
      <w:r w:rsidRPr="009602BC">
        <w:rPr>
          <w:rFonts w:ascii="Arial Narrow" w:hAnsi="Arial Narrow"/>
        </w:rPr>
        <w:t xml:space="preserve"> aux seuls salariés directement concernés par la manipulation de nano</w:t>
      </w:r>
      <w:r w:rsidR="009602BC">
        <w:rPr>
          <w:rFonts w:ascii="Arial Narrow" w:hAnsi="Arial Narrow"/>
        </w:rPr>
        <w:t>matériaux</w:t>
      </w:r>
    </w:p>
    <w:p w:rsidR="001366DB" w:rsidRPr="009602BC" w:rsidRDefault="001366DB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9602BC">
        <w:rPr>
          <w:rFonts w:ascii="Arial Narrow" w:hAnsi="Arial Narrow"/>
        </w:rPr>
        <w:t xml:space="preserve">Optimiser le procédé pour obtenir un niveau d’empoussièrement aussi faible que possible : </w:t>
      </w:r>
      <w:r w:rsidRPr="00E857E9">
        <w:rPr>
          <w:rFonts w:ascii="Arial Narrow" w:hAnsi="Arial Narrow"/>
          <w:b/>
        </w:rPr>
        <w:t>privilégier les systèmes clos et des techniques automatisées</w:t>
      </w:r>
    </w:p>
    <w:p w:rsidR="001366DB" w:rsidRPr="009602BC" w:rsidRDefault="001366DB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>Capter les polluants à la source</w:t>
      </w:r>
      <w:r w:rsidRPr="009602BC">
        <w:rPr>
          <w:rFonts w:ascii="Arial Narrow" w:hAnsi="Arial Narrow"/>
        </w:rPr>
        <w:t xml:space="preserve"> (</w:t>
      </w:r>
      <w:proofErr w:type="spellStart"/>
      <w:r w:rsidRPr="009602BC">
        <w:rPr>
          <w:rFonts w:ascii="Arial Narrow" w:hAnsi="Arial Narrow"/>
        </w:rPr>
        <w:t>sorbonne</w:t>
      </w:r>
      <w:proofErr w:type="spellEnd"/>
      <w:r w:rsidRPr="009602BC">
        <w:rPr>
          <w:rFonts w:ascii="Arial Narrow" w:hAnsi="Arial Narrow"/>
        </w:rPr>
        <w:t xml:space="preserve"> de laboratoire, boîte à gants, </w:t>
      </w:r>
      <w:r w:rsidR="009602BC">
        <w:rPr>
          <w:rFonts w:ascii="Arial Narrow" w:hAnsi="Arial Narrow"/>
        </w:rPr>
        <w:t>poste de sécurité microbiologique</w:t>
      </w:r>
      <w:r w:rsidR="00C8562A">
        <w:rPr>
          <w:rFonts w:ascii="Arial Narrow" w:hAnsi="Arial Narrow"/>
        </w:rPr>
        <w:t>, bras aspirant</w:t>
      </w:r>
      <w:r w:rsidRPr="009602BC">
        <w:rPr>
          <w:rFonts w:ascii="Arial Narrow" w:hAnsi="Arial Narrow"/>
        </w:rPr>
        <w:t>…) et filtrer l’air avant rejet à l’extérieur du local de travail (filtres à fibres à très haute efficacité, de classe supérieure à H13)</w:t>
      </w:r>
      <w:r w:rsidR="00C8562A">
        <w:rPr>
          <w:rFonts w:ascii="Arial Narrow" w:hAnsi="Arial Narrow"/>
        </w:rPr>
        <w:t xml:space="preserve">. Les enceintes à recirculation d’air sont à proscrire. </w:t>
      </w:r>
    </w:p>
    <w:p w:rsidR="00CB1A22" w:rsidRDefault="00CB1A22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Dès lors que les protections collectives sont insuffisantes,</w:t>
      </w:r>
      <w:r w:rsidRPr="009602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1366DB" w:rsidRPr="009602BC">
        <w:rPr>
          <w:rFonts w:ascii="Arial Narrow" w:hAnsi="Arial Narrow"/>
        </w:rPr>
        <w:t xml:space="preserve">orter un </w:t>
      </w:r>
      <w:r w:rsidR="001366DB" w:rsidRPr="00E857E9">
        <w:rPr>
          <w:rFonts w:ascii="Arial Narrow" w:hAnsi="Arial Narrow"/>
          <w:b/>
        </w:rPr>
        <w:t>appareil de protection respirat</w:t>
      </w:r>
      <w:r w:rsidR="00C8562A" w:rsidRPr="00E857E9">
        <w:rPr>
          <w:rFonts w:ascii="Arial Narrow" w:hAnsi="Arial Narrow"/>
          <w:b/>
        </w:rPr>
        <w:t>oire filtrant (filtre de classe P</w:t>
      </w:r>
      <w:r w:rsidR="001366DB" w:rsidRPr="00E857E9">
        <w:rPr>
          <w:rFonts w:ascii="Arial Narrow" w:hAnsi="Arial Narrow"/>
          <w:b/>
        </w:rPr>
        <w:t>3) ou isolant</w:t>
      </w:r>
      <w:r>
        <w:rPr>
          <w:rFonts w:ascii="Arial Narrow" w:hAnsi="Arial Narrow"/>
        </w:rPr>
        <w:t xml:space="preserve"> (pour les travaux exposant ou de longue durée)</w:t>
      </w:r>
      <w:r w:rsidR="00C8562A">
        <w:rPr>
          <w:rFonts w:ascii="Arial Narrow" w:hAnsi="Arial Narrow"/>
        </w:rPr>
        <w:t xml:space="preserve">. </w:t>
      </w:r>
    </w:p>
    <w:p w:rsidR="001366DB" w:rsidRPr="009602BC" w:rsidRDefault="00CB1A22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Porter des </w:t>
      </w:r>
      <w:r w:rsidRPr="00E857E9">
        <w:rPr>
          <w:rFonts w:ascii="Arial Narrow" w:hAnsi="Arial Narrow"/>
          <w:b/>
        </w:rPr>
        <w:t>équipements de protection cutanée</w:t>
      </w:r>
      <w:r>
        <w:rPr>
          <w:rFonts w:ascii="Arial Narrow" w:hAnsi="Arial Narrow"/>
        </w:rPr>
        <w:t xml:space="preserve"> : </w:t>
      </w:r>
      <w:r w:rsidR="001366DB" w:rsidRPr="009602BC">
        <w:rPr>
          <w:rFonts w:ascii="Arial Narrow" w:hAnsi="Arial Narrow"/>
        </w:rPr>
        <w:t xml:space="preserve">combinaison </w:t>
      </w:r>
      <w:r w:rsidR="00F644D4">
        <w:rPr>
          <w:rFonts w:ascii="Arial Narrow" w:hAnsi="Arial Narrow"/>
        </w:rPr>
        <w:t xml:space="preserve">contre le risque chimique (type </w:t>
      </w:r>
      <w:r w:rsidR="001366DB" w:rsidRPr="009602BC">
        <w:rPr>
          <w:rFonts w:ascii="Arial Narrow" w:hAnsi="Arial Narrow"/>
        </w:rPr>
        <w:t xml:space="preserve">5), des gants </w:t>
      </w:r>
      <w:r>
        <w:rPr>
          <w:rFonts w:ascii="Arial Narrow" w:hAnsi="Arial Narrow"/>
        </w:rPr>
        <w:t xml:space="preserve">jetables (nitrile, vinyle ou néoprène) </w:t>
      </w:r>
      <w:r w:rsidR="001366DB" w:rsidRPr="009602BC">
        <w:rPr>
          <w:rFonts w:ascii="Arial Narrow" w:hAnsi="Arial Narrow"/>
        </w:rPr>
        <w:t>et des lunettes</w:t>
      </w:r>
      <w:r>
        <w:rPr>
          <w:rFonts w:ascii="Arial Narrow" w:hAnsi="Arial Narrow"/>
        </w:rPr>
        <w:t xml:space="preserve">. L’emploi de couvre-chaussure permet d’éviter la contamination à l’extérieur du laboratoire. </w:t>
      </w:r>
    </w:p>
    <w:p w:rsidR="001366DB" w:rsidRPr="009602BC" w:rsidRDefault="001366DB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>Nettoyer régulièrement et soigneusement les sols et les surfaces de travail</w:t>
      </w:r>
      <w:r w:rsidR="00F644D4">
        <w:rPr>
          <w:rFonts w:ascii="Arial Narrow" w:hAnsi="Arial Narrow"/>
        </w:rPr>
        <w:t xml:space="preserve"> à l’aide de linges humides et d’aspirateur équipé de filtres à très hautes efficacité</w:t>
      </w:r>
    </w:p>
    <w:p w:rsidR="001366DB" w:rsidRPr="009602BC" w:rsidRDefault="001366DB" w:rsidP="004F447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57E9">
        <w:rPr>
          <w:rFonts w:ascii="Arial Narrow" w:hAnsi="Arial Narrow"/>
          <w:b/>
        </w:rPr>
        <w:t>Collecter et traiter les déchets</w:t>
      </w:r>
      <w:r w:rsidR="00F644D4">
        <w:rPr>
          <w:rFonts w:ascii="Arial Narrow" w:hAnsi="Arial Narrow"/>
        </w:rPr>
        <w:t xml:space="preserve"> comme des déchets dangereux</w:t>
      </w:r>
    </w:p>
    <w:p w:rsidR="001366DB" w:rsidRDefault="006C77B3" w:rsidP="006C77B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pict>
          <v:rect id="_x0000_s1026" style="position:absolute;left:0;text-align:left;margin-left:148.45pt;margin-top:78.9pt;width:19.15pt;height:7.15pt;z-index:251659264" stroked="f"/>
        </w:pict>
      </w: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2464091" cy="1108050"/>
            <wp:effectExtent l="1905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94" t="17982" r="27629" b="4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91" cy="11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DB" w:rsidRDefault="00F644D4" w:rsidP="004F447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suivi de l’exposition doit se faire par l’intermédiaire de la </w:t>
      </w:r>
      <w:r w:rsidRPr="00E857E9">
        <w:rPr>
          <w:rFonts w:ascii="Arial Narrow" w:hAnsi="Arial Narrow"/>
          <w:b/>
        </w:rPr>
        <w:t>fiche individuelle d’exposition</w:t>
      </w:r>
      <w:r>
        <w:rPr>
          <w:rFonts w:ascii="Arial Narrow" w:hAnsi="Arial Narrow"/>
        </w:rPr>
        <w:t xml:space="preserve">. Une copie de cette fiche est transmise au médecin de prévention afin de mettre en place une </w:t>
      </w:r>
      <w:r w:rsidRPr="00E857E9">
        <w:rPr>
          <w:rFonts w:ascii="Arial Narrow" w:hAnsi="Arial Narrow"/>
          <w:b/>
        </w:rPr>
        <w:t>surveillance médicale particulière</w:t>
      </w:r>
      <w:r>
        <w:rPr>
          <w:rFonts w:ascii="Arial Narrow" w:hAnsi="Arial Narrow"/>
        </w:rPr>
        <w:t xml:space="preserve">. </w:t>
      </w:r>
    </w:p>
    <w:p w:rsidR="00B55D2C" w:rsidRDefault="00B55D2C" w:rsidP="004F447C">
      <w:pPr>
        <w:spacing w:after="0" w:line="240" w:lineRule="auto"/>
        <w:jc w:val="both"/>
        <w:rPr>
          <w:rFonts w:ascii="Arial Narrow" w:hAnsi="Arial Narrow"/>
        </w:rPr>
      </w:pPr>
    </w:p>
    <w:p w:rsidR="00AB5A9E" w:rsidRDefault="00AB5A9E" w:rsidP="004F447C">
      <w:pPr>
        <w:spacing w:after="0" w:line="240" w:lineRule="auto"/>
        <w:jc w:val="both"/>
        <w:rPr>
          <w:rFonts w:ascii="Arial Narrow" w:hAnsi="Arial Narrow"/>
          <w:i/>
        </w:rPr>
      </w:pPr>
    </w:p>
    <w:p w:rsidR="00425805" w:rsidRDefault="00425805" w:rsidP="00425805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Pour en savoir plus : </w:t>
      </w:r>
    </w:p>
    <w:p w:rsidR="00FA11BD" w:rsidRPr="00425805" w:rsidRDefault="00425805" w:rsidP="00FA11B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 xml:space="preserve">INRS : ED </w:t>
      </w:r>
      <w:r w:rsidR="004D0970">
        <w:rPr>
          <w:rFonts w:ascii="Arial Narrow" w:hAnsi="Arial Narrow"/>
          <w:i/>
        </w:rPr>
        <w:t>6115 Nanomatériaux – Prévention des risques dans les laboratoires</w:t>
      </w:r>
    </w:p>
    <w:p w:rsidR="00425805" w:rsidRDefault="004D0970" w:rsidP="00425805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INRS : ED 6050 Les nanomatériaux – Définitions, risques toxicologiques, caractérisation de l’exposition professionnelle et mesures de prévention</w:t>
      </w:r>
    </w:p>
    <w:p w:rsidR="004D0970" w:rsidRPr="00425805" w:rsidRDefault="004D0970" w:rsidP="00425805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INRS : ED 6064 Nanomatériaux – Risques pour la santé et mesures de prévention</w:t>
      </w:r>
    </w:p>
    <w:sectPr w:rsidR="004D0970" w:rsidRPr="00425805" w:rsidSect="00E879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26" w:rsidRDefault="007F5626" w:rsidP="008B5CDA">
      <w:pPr>
        <w:spacing w:after="0" w:line="240" w:lineRule="auto"/>
      </w:pPr>
      <w:r>
        <w:separator/>
      </w:r>
    </w:p>
  </w:endnote>
  <w:endnote w:type="continuationSeparator" w:id="0">
    <w:p w:rsidR="007F5626" w:rsidRDefault="007F5626" w:rsidP="008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26" w:rsidRDefault="007F5626" w:rsidP="008B5CDA">
      <w:pPr>
        <w:spacing w:after="0" w:line="240" w:lineRule="auto"/>
      </w:pPr>
      <w:r>
        <w:separator/>
      </w:r>
    </w:p>
  </w:footnote>
  <w:footnote w:type="continuationSeparator" w:id="0">
    <w:p w:rsidR="007F5626" w:rsidRDefault="007F5626" w:rsidP="008B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1E0"/>
    </w:tblPr>
    <w:tblGrid>
      <w:gridCol w:w="2639"/>
      <w:gridCol w:w="2588"/>
      <w:gridCol w:w="3054"/>
      <w:gridCol w:w="1007"/>
    </w:tblGrid>
    <w:tr w:rsidR="007F5626" w:rsidTr="00427CDC">
      <w:trPr>
        <w:trHeight w:val="423"/>
      </w:trPr>
      <w:tc>
        <w:tcPr>
          <w:tcW w:w="2660" w:type="dxa"/>
          <w:vMerge w:val="restart"/>
          <w:vAlign w:val="center"/>
        </w:tcPr>
        <w:p w:rsidR="007F5626" w:rsidRDefault="007F5626" w:rsidP="00427CDC">
          <w:pPr>
            <w:pStyle w:val="En-tte"/>
            <w:ind w:firstLine="142"/>
            <w:jc w:val="left"/>
          </w:pPr>
          <w:r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gridSpan w:val="3"/>
          <w:shd w:val="clear" w:color="auto" w:fill="auto"/>
          <w:vAlign w:val="center"/>
        </w:tcPr>
        <w:p w:rsidR="007F5626" w:rsidRDefault="007F5626" w:rsidP="00427CDC">
          <w:pPr>
            <w:pStyle w:val="En-tte"/>
            <w:spacing w:before="0"/>
            <w:ind w:firstLine="0"/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Note d’information</w:t>
          </w:r>
        </w:p>
      </w:tc>
    </w:tr>
    <w:tr w:rsidR="007F5626" w:rsidTr="00427CDC">
      <w:trPr>
        <w:trHeight w:val="431"/>
      </w:trPr>
      <w:tc>
        <w:tcPr>
          <w:tcW w:w="2660" w:type="dxa"/>
          <w:vMerge/>
          <w:vAlign w:val="center"/>
        </w:tcPr>
        <w:p w:rsidR="007F5626" w:rsidRDefault="007F5626" w:rsidP="00427CDC">
          <w:pPr>
            <w:pStyle w:val="En-tte"/>
            <w:spacing w:before="0"/>
            <w:ind w:firstLine="0"/>
            <w:jc w:val="left"/>
          </w:pPr>
        </w:p>
      </w:tc>
      <w:tc>
        <w:tcPr>
          <w:tcW w:w="7052" w:type="dxa"/>
          <w:gridSpan w:val="3"/>
          <w:shd w:val="clear" w:color="auto" w:fill="auto"/>
          <w:vAlign w:val="center"/>
        </w:tcPr>
        <w:p w:rsidR="007F5626" w:rsidRPr="00981325" w:rsidRDefault="007F5626" w:rsidP="00427CDC">
          <w:pPr>
            <w:pStyle w:val="En-tte"/>
            <w:spacing w:before="0"/>
            <w:ind w:firstLine="0"/>
            <w:jc w:val="center"/>
            <w:rPr>
              <w:rFonts w:ascii="Arial Rounded MT Bold" w:hAnsi="Arial Rounded MT Bold"/>
              <w:sz w:val="24"/>
              <w:szCs w:val="24"/>
            </w:rPr>
          </w:pPr>
          <w:r>
            <w:rPr>
              <w:rFonts w:ascii="Arial Rounded MT Bold" w:hAnsi="Arial Rounded MT Bold"/>
              <w:sz w:val="24"/>
              <w:szCs w:val="24"/>
            </w:rPr>
            <w:t>CIMAP - QSE</w:t>
          </w:r>
        </w:p>
      </w:tc>
    </w:tr>
    <w:tr w:rsidR="007F5626" w:rsidRPr="00DC2CDC" w:rsidTr="00427CDC">
      <w:trPr>
        <w:trHeight w:val="400"/>
      </w:trPr>
      <w:tc>
        <w:tcPr>
          <w:tcW w:w="2660" w:type="dxa"/>
          <w:vAlign w:val="center"/>
        </w:tcPr>
        <w:p w:rsidR="007F5626" w:rsidRPr="00DC2CDC" w:rsidRDefault="007F5626" w:rsidP="00427CDC">
          <w:pPr>
            <w:pStyle w:val="En-tte"/>
            <w:spacing w:before="0"/>
            <w:ind w:firstLine="0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émetteur : Q. Legrand</w:t>
          </w:r>
        </w:p>
      </w:tc>
      <w:tc>
        <w:tcPr>
          <w:tcW w:w="2697" w:type="dxa"/>
          <w:shd w:val="clear" w:color="auto" w:fill="auto"/>
          <w:vAlign w:val="center"/>
        </w:tcPr>
        <w:p w:rsidR="007F5626" w:rsidRDefault="007F5626" w:rsidP="00427CDC">
          <w:pPr>
            <w:pStyle w:val="En-tte"/>
            <w:spacing w:before="0"/>
            <w:ind w:firstLine="0"/>
            <w:jc w:val="left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date </w:t>
          </w:r>
          <w:proofErr w:type="gramStart"/>
          <w:r>
            <w:rPr>
              <w:smallCaps/>
              <w:sz w:val="18"/>
              <w:szCs w:val="18"/>
            </w:rPr>
            <w:t>:28</w:t>
          </w:r>
          <w:proofErr w:type="gramEnd"/>
          <w:r>
            <w:rPr>
              <w:smallCaps/>
              <w:sz w:val="18"/>
              <w:szCs w:val="18"/>
            </w:rPr>
            <w:t>/03/2013</w:t>
          </w:r>
        </w:p>
        <w:p w:rsidR="007F5626" w:rsidRPr="00DC2CDC" w:rsidRDefault="007F5626" w:rsidP="00427CDC">
          <w:pPr>
            <w:pStyle w:val="En-tte"/>
            <w:spacing w:before="0"/>
            <w:ind w:firstLine="0"/>
            <w:jc w:val="left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Version : 1</w:t>
          </w:r>
        </w:p>
      </w:tc>
      <w:tc>
        <w:tcPr>
          <w:tcW w:w="3305" w:type="dxa"/>
          <w:shd w:val="clear" w:color="auto" w:fill="auto"/>
          <w:vAlign w:val="center"/>
        </w:tcPr>
        <w:p w:rsidR="007F5626" w:rsidRDefault="007F5626" w:rsidP="008B5CDA">
          <w:pPr>
            <w:pStyle w:val="En-tte"/>
            <w:spacing w:before="0"/>
            <w:ind w:firstLine="0"/>
            <w:jc w:val="left"/>
            <w:rPr>
              <w:sz w:val="18"/>
              <w:szCs w:val="18"/>
            </w:rPr>
          </w:pPr>
          <w:proofErr w:type="spellStart"/>
          <w:r w:rsidRPr="00DC2CDC">
            <w:rPr>
              <w:smallCaps/>
              <w:sz w:val="18"/>
              <w:szCs w:val="18"/>
            </w:rPr>
            <w:t>ref</w:t>
          </w:r>
          <w:proofErr w:type="spellEnd"/>
          <w:r w:rsidRPr="00DC2CDC">
            <w:rPr>
              <w:smallCaps/>
              <w:sz w:val="18"/>
              <w:szCs w:val="18"/>
            </w:rPr>
            <w:t> </w:t>
          </w:r>
          <w:r>
            <w:rPr>
              <w:sz w:val="18"/>
              <w:szCs w:val="18"/>
            </w:rPr>
            <w:t>: N-13-02</w:t>
          </w:r>
        </w:p>
      </w:tc>
      <w:tc>
        <w:tcPr>
          <w:tcW w:w="1050" w:type="dxa"/>
          <w:shd w:val="clear" w:color="auto" w:fill="auto"/>
          <w:vAlign w:val="center"/>
        </w:tcPr>
        <w:p w:rsidR="007F5626" w:rsidRPr="00DC2CDC" w:rsidRDefault="007F5626" w:rsidP="00427CDC">
          <w:pPr>
            <w:pStyle w:val="En-tte"/>
            <w:spacing w:before="0"/>
            <w:ind w:firstLine="0"/>
            <w:jc w:val="left"/>
            <w:rPr>
              <w:smallCaps/>
              <w:sz w:val="18"/>
              <w:szCs w:val="18"/>
            </w:rPr>
          </w:pPr>
          <w:r w:rsidRPr="00DC2CDC">
            <w:rPr>
              <w:smallCaps/>
              <w:sz w:val="18"/>
              <w:szCs w:val="18"/>
            </w:rPr>
            <w:t>page</w:t>
          </w:r>
          <w:r w:rsidRPr="00DC2CDC">
            <w:rPr>
              <w:sz w:val="18"/>
              <w:szCs w:val="18"/>
            </w:rPr>
            <w:t xml:space="preserve"> </w:t>
          </w:r>
          <w:r w:rsidRPr="00DC2CDC">
            <w:rPr>
              <w:rStyle w:val="Numrodepage"/>
              <w:sz w:val="18"/>
              <w:szCs w:val="18"/>
            </w:rPr>
            <w:fldChar w:fldCharType="begin"/>
          </w:r>
          <w:r w:rsidRPr="00DC2CDC">
            <w:rPr>
              <w:rStyle w:val="Numrodepage"/>
              <w:sz w:val="18"/>
              <w:szCs w:val="18"/>
            </w:rPr>
            <w:instrText xml:space="preserve"> PAGE </w:instrText>
          </w:r>
          <w:r w:rsidRPr="00DC2CDC">
            <w:rPr>
              <w:rStyle w:val="Numrodepage"/>
              <w:sz w:val="18"/>
              <w:szCs w:val="18"/>
            </w:rPr>
            <w:fldChar w:fldCharType="separate"/>
          </w:r>
          <w:r w:rsidR="00402315">
            <w:rPr>
              <w:rStyle w:val="Numrodepage"/>
              <w:noProof/>
              <w:sz w:val="18"/>
              <w:szCs w:val="18"/>
            </w:rPr>
            <w:t>1</w:t>
          </w:r>
          <w:r w:rsidRPr="00DC2CDC">
            <w:rPr>
              <w:rStyle w:val="Numrodepage"/>
              <w:sz w:val="18"/>
              <w:szCs w:val="18"/>
            </w:rPr>
            <w:fldChar w:fldCharType="end"/>
          </w:r>
          <w:r w:rsidRPr="00DC2CDC">
            <w:rPr>
              <w:rStyle w:val="Numrodepage"/>
              <w:sz w:val="18"/>
              <w:szCs w:val="18"/>
            </w:rPr>
            <w:t>/</w:t>
          </w:r>
          <w:r w:rsidRPr="00DC2CDC">
            <w:rPr>
              <w:rStyle w:val="Numrodepage"/>
              <w:sz w:val="18"/>
              <w:szCs w:val="18"/>
            </w:rPr>
            <w:fldChar w:fldCharType="begin"/>
          </w:r>
          <w:r w:rsidRPr="00DC2CDC">
            <w:rPr>
              <w:rStyle w:val="Numrodepage"/>
              <w:sz w:val="18"/>
              <w:szCs w:val="18"/>
            </w:rPr>
            <w:instrText xml:space="preserve"> NUMPAGES </w:instrText>
          </w:r>
          <w:r w:rsidRPr="00DC2CDC">
            <w:rPr>
              <w:rStyle w:val="Numrodepage"/>
              <w:sz w:val="18"/>
              <w:szCs w:val="18"/>
            </w:rPr>
            <w:fldChar w:fldCharType="separate"/>
          </w:r>
          <w:r w:rsidR="00402315">
            <w:rPr>
              <w:rStyle w:val="Numrodepage"/>
              <w:noProof/>
              <w:sz w:val="18"/>
              <w:szCs w:val="18"/>
            </w:rPr>
            <w:t>2</w:t>
          </w:r>
          <w:r w:rsidRPr="00DC2CDC">
            <w:rPr>
              <w:rStyle w:val="Numrodepage"/>
              <w:sz w:val="18"/>
              <w:szCs w:val="18"/>
            </w:rPr>
            <w:fldChar w:fldCharType="end"/>
          </w:r>
        </w:p>
      </w:tc>
    </w:tr>
  </w:tbl>
  <w:p w:rsidR="007F5626" w:rsidRDefault="007F56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FA1"/>
    <w:multiLevelType w:val="hybridMultilevel"/>
    <w:tmpl w:val="21E26108"/>
    <w:lvl w:ilvl="0" w:tplc="404610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1FAB"/>
    <w:multiLevelType w:val="multilevel"/>
    <w:tmpl w:val="17D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A24"/>
    <w:multiLevelType w:val="hybridMultilevel"/>
    <w:tmpl w:val="148A5140"/>
    <w:lvl w:ilvl="0" w:tplc="65F28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0BDA"/>
    <w:multiLevelType w:val="multilevel"/>
    <w:tmpl w:val="BB7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47D2F"/>
    <w:multiLevelType w:val="multilevel"/>
    <w:tmpl w:val="6F6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56C4D"/>
    <w:multiLevelType w:val="multilevel"/>
    <w:tmpl w:val="2E2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47B50"/>
    <w:multiLevelType w:val="hybridMultilevel"/>
    <w:tmpl w:val="F3F0ED34"/>
    <w:lvl w:ilvl="0" w:tplc="404610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D67"/>
    <w:multiLevelType w:val="hybridMultilevel"/>
    <w:tmpl w:val="94B676D4"/>
    <w:lvl w:ilvl="0" w:tplc="4D10E2A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526E7"/>
    <w:multiLevelType w:val="hybridMultilevel"/>
    <w:tmpl w:val="A5F06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CDA"/>
    <w:rsid w:val="000911E3"/>
    <w:rsid w:val="00117018"/>
    <w:rsid w:val="001366DB"/>
    <w:rsid w:val="00172CBF"/>
    <w:rsid w:val="001B7B2B"/>
    <w:rsid w:val="00216E29"/>
    <w:rsid w:val="00285CD5"/>
    <w:rsid w:val="002A4314"/>
    <w:rsid w:val="002B69C1"/>
    <w:rsid w:val="002C7233"/>
    <w:rsid w:val="003A4AC9"/>
    <w:rsid w:val="00400BC0"/>
    <w:rsid w:val="00402315"/>
    <w:rsid w:val="00425805"/>
    <w:rsid w:val="00427CDC"/>
    <w:rsid w:val="00446A86"/>
    <w:rsid w:val="00491D2E"/>
    <w:rsid w:val="004C74ED"/>
    <w:rsid w:val="004D0970"/>
    <w:rsid w:val="004E6A29"/>
    <w:rsid w:val="004F447C"/>
    <w:rsid w:val="005C1A30"/>
    <w:rsid w:val="005C52B7"/>
    <w:rsid w:val="005D20C9"/>
    <w:rsid w:val="00625883"/>
    <w:rsid w:val="006C77B3"/>
    <w:rsid w:val="006D270B"/>
    <w:rsid w:val="00714E15"/>
    <w:rsid w:val="00721C14"/>
    <w:rsid w:val="00762B3B"/>
    <w:rsid w:val="007E7F21"/>
    <w:rsid w:val="007F5626"/>
    <w:rsid w:val="00811271"/>
    <w:rsid w:val="00844573"/>
    <w:rsid w:val="00863191"/>
    <w:rsid w:val="00882C57"/>
    <w:rsid w:val="008B5CDA"/>
    <w:rsid w:val="008E726C"/>
    <w:rsid w:val="009602BC"/>
    <w:rsid w:val="009909CE"/>
    <w:rsid w:val="009964F2"/>
    <w:rsid w:val="009B210F"/>
    <w:rsid w:val="009B31AB"/>
    <w:rsid w:val="009C285D"/>
    <w:rsid w:val="009E6846"/>
    <w:rsid w:val="00AB5A9E"/>
    <w:rsid w:val="00B55D2C"/>
    <w:rsid w:val="00B8708A"/>
    <w:rsid w:val="00BD5579"/>
    <w:rsid w:val="00BD5D2B"/>
    <w:rsid w:val="00C2726A"/>
    <w:rsid w:val="00C33E1A"/>
    <w:rsid w:val="00C62844"/>
    <w:rsid w:val="00C8562A"/>
    <w:rsid w:val="00C903D4"/>
    <w:rsid w:val="00CA1105"/>
    <w:rsid w:val="00CB1A22"/>
    <w:rsid w:val="00CC47B4"/>
    <w:rsid w:val="00CF60EC"/>
    <w:rsid w:val="00CF6802"/>
    <w:rsid w:val="00D6503D"/>
    <w:rsid w:val="00D963E2"/>
    <w:rsid w:val="00D9640D"/>
    <w:rsid w:val="00DB0BF0"/>
    <w:rsid w:val="00E74C24"/>
    <w:rsid w:val="00E857E9"/>
    <w:rsid w:val="00E864BF"/>
    <w:rsid w:val="00E879A8"/>
    <w:rsid w:val="00F24A3C"/>
    <w:rsid w:val="00F644D4"/>
    <w:rsid w:val="00FA11BD"/>
    <w:rsid w:val="00FB1309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A8"/>
  </w:style>
  <w:style w:type="paragraph" w:styleId="Titre3">
    <w:name w:val="heading 3"/>
    <w:basedOn w:val="Normal"/>
    <w:link w:val="Titre3Car"/>
    <w:uiPriority w:val="9"/>
    <w:qFormat/>
    <w:rsid w:val="00136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B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5CDA"/>
  </w:style>
  <w:style w:type="paragraph" w:styleId="Pieddepage">
    <w:name w:val="footer"/>
    <w:basedOn w:val="Normal"/>
    <w:link w:val="PieddepageCar"/>
    <w:uiPriority w:val="99"/>
    <w:semiHidden/>
    <w:unhideWhenUsed/>
    <w:rsid w:val="008B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5CDA"/>
  </w:style>
  <w:style w:type="table" w:styleId="Grilledutableau">
    <w:name w:val="Table Grid"/>
    <w:basedOn w:val="TableauNormal"/>
    <w:rsid w:val="008B5CDA"/>
    <w:pPr>
      <w:spacing w:before="120" w:after="0" w:line="280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8B5CDA"/>
  </w:style>
  <w:style w:type="paragraph" w:customStyle="1" w:styleId="Default">
    <w:name w:val="Default"/>
    <w:rsid w:val="00721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1E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44573"/>
    <w:rPr>
      <w:b/>
      <w:bCs/>
    </w:rPr>
  </w:style>
  <w:style w:type="paragraph" w:styleId="Paragraphedeliste">
    <w:name w:val="List Paragraph"/>
    <w:basedOn w:val="Normal"/>
    <w:uiPriority w:val="34"/>
    <w:qFormat/>
    <w:rsid w:val="00FB1309"/>
    <w:pPr>
      <w:ind w:left="720"/>
      <w:contextualSpacing/>
    </w:pPr>
  </w:style>
  <w:style w:type="paragraph" w:customStyle="1" w:styleId="titreliste">
    <w:name w:val="titre_liste"/>
    <w:basedOn w:val="Normal"/>
    <w:rsid w:val="0013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366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3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66DB"/>
    <w:rPr>
      <w:color w:val="0000FF"/>
      <w:u w:val="single"/>
    </w:rPr>
  </w:style>
  <w:style w:type="character" w:customStyle="1" w:styleId="definition">
    <w:name w:val="definition"/>
    <w:basedOn w:val="Policepardfaut"/>
    <w:rsid w:val="0013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19A33-25EC-4D22-B8B3-448E1BD6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</dc:creator>
  <cp:lastModifiedBy>legrand</cp:lastModifiedBy>
  <cp:revision>9</cp:revision>
  <cp:lastPrinted>2013-03-28T13:40:00Z</cp:lastPrinted>
  <dcterms:created xsi:type="dcterms:W3CDTF">2013-03-28T08:50:00Z</dcterms:created>
  <dcterms:modified xsi:type="dcterms:W3CDTF">2013-03-28T14:43:00Z</dcterms:modified>
</cp:coreProperties>
</file>