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FA7282" w:rsidRDefault="008B5CDA" w:rsidP="00427C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7282">
        <w:rPr>
          <w:rFonts w:ascii="Arial Narrow" w:hAnsi="Arial Narrow"/>
          <w:b/>
          <w:sz w:val="24"/>
          <w:szCs w:val="24"/>
          <w:u w:val="single"/>
        </w:rPr>
        <w:t>Objet</w:t>
      </w:r>
      <w:r w:rsidRPr="00FA7282">
        <w:rPr>
          <w:rFonts w:ascii="Arial Narrow" w:hAnsi="Arial Narrow"/>
          <w:sz w:val="24"/>
          <w:szCs w:val="24"/>
          <w:u w:val="single"/>
        </w:rPr>
        <w:t> :</w:t>
      </w:r>
      <w:r w:rsidRPr="00FA7282">
        <w:rPr>
          <w:rFonts w:ascii="Arial Narrow" w:hAnsi="Arial Narrow"/>
          <w:sz w:val="24"/>
          <w:szCs w:val="24"/>
        </w:rPr>
        <w:t xml:space="preserve"> </w:t>
      </w:r>
      <w:r w:rsidR="001366DB" w:rsidRPr="00FA7282">
        <w:rPr>
          <w:rFonts w:ascii="Arial Narrow" w:hAnsi="Arial Narrow"/>
          <w:sz w:val="24"/>
          <w:szCs w:val="24"/>
        </w:rPr>
        <w:t xml:space="preserve">Prévention des risques liés </w:t>
      </w:r>
      <w:r w:rsidR="001860FB" w:rsidRPr="00FA7282">
        <w:rPr>
          <w:rFonts w:ascii="Arial Narrow" w:hAnsi="Arial Narrow"/>
          <w:sz w:val="24"/>
          <w:szCs w:val="24"/>
        </w:rPr>
        <w:t>à l’amiante</w:t>
      </w:r>
    </w:p>
    <w:p w:rsidR="00844573" w:rsidRDefault="00844573" w:rsidP="00427CDC">
      <w:pPr>
        <w:spacing w:after="0" w:line="240" w:lineRule="auto"/>
        <w:rPr>
          <w:rFonts w:ascii="Arial Narrow" w:hAnsi="Arial Narrow"/>
        </w:rPr>
      </w:pPr>
    </w:p>
    <w:p w:rsidR="001860FB" w:rsidRPr="004F447C" w:rsidRDefault="001860FB" w:rsidP="001860FB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4F447C">
        <w:rPr>
          <w:rFonts w:ascii="Arial Narrow" w:hAnsi="Arial Narrow"/>
          <w:b/>
          <w:color w:val="1F497D" w:themeColor="text2"/>
        </w:rPr>
        <w:t>Définition et réglementation</w:t>
      </w:r>
    </w:p>
    <w:p w:rsidR="001860FB" w:rsidRDefault="00A81D14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97155</wp:posOffset>
            </wp:positionV>
            <wp:extent cx="467360" cy="930910"/>
            <wp:effectExtent l="19050" t="0" r="8890" b="0"/>
            <wp:wrapSquare wrapText="bothSides"/>
            <wp:docPr id="4" name="il_fi" descr="http://www.artois-diagnostics.fr/wp-content/uploads/2010/10/am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ois-diagnostics.fr/wp-content/uploads/2010/10/amia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FB" w:rsidRDefault="001860FB" w:rsidP="00A81D14">
      <w:p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>L'amiante est une fibre minérale naturelle massivement utilisée pendant plus d’un siècle, dans des milliers de produits à destination industrielle ou domestique, pour ses performances techniques remarquables associées à un faible coût.</w:t>
      </w:r>
    </w:p>
    <w:p w:rsidR="00012B09" w:rsidRPr="00941541" w:rsidRDefault="00012B09" w:rsidP="00A81D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>La consommation d'amiante en France a été à son plus haut</w:t>
      </w:r>
      <w:r w:rsidR="001860FB" w:rsidRPr="00941541">
        <w:rPr>
          <w:rFonts w:ascii="Arial Narrow" w:hAnsi="Arial Narrow"/>
        </w:rPr>
        <w:t xml:space="preserve"> </w:t>
      </w:r>
      <w:r w:rsidRPr="00941541">
        <w:rPr>
          <w:rFonts w:ascii="Arial Narrow" w:hAnsi="Arial Narrow"/>
        </w:rPr>
        <w:t>niveau entre 1973 et 1975.</w:t>
      </w:r>
    </w:p>
    <w:p w:rsidR="00012B09" w:rsidRDefault="00012B09" w:rsidP="00A81D14">
      <w:pPr>
        <w:spacing w:after="0" w:line="240" w:lineRule="auto"/>
        <w:jc w:val="both"/>
        <w:rPr>
          <w:rFonts w:ascii="Arial Narrow" w:hAnsi="Arial Narrow"/>
        </w:rPr>
      </w:pPr>
      <w:r w:rsidRPr="00A81D14">
        <w:rPr>
          <w:rFonts w:ascii="Arial Narrow" w:hAnsi="Arial Narrow"/>
          <w:b/>
        </w:rPr>
        <w:t>Interdit en France depuis 1997</w:t>
      </w:r>
      <w:r w:rsidRPr="00941541">
        <w:rPr>
          <w:rFonts w:ascii="Arial Narrow" w:hAnsi="Arial Narrow"/>
        </w:rPr>
        <w:t>, il reste présent dans de nombreux bâtiment</w:t>
      </w:r>
      <w:r w:rsidR="00A81D14">
        <w:rPr>
          <w:rFonts w:ascii="Arial Narrow" w:hAnsi="Arial Narrow"/>
        </w:rPr>
        <w:t>s</w:t>
      </w:r>
      <w:r w:rsidRPr="00941541">
        <w:rPr>
          <w:rFonts w:ascii="Arial Narrow" w:hAnsi="Arial Narrow"/>
        </w:rPr>
        <w:t xml:space="preserve"> et machines. </w:t>
      </w:r>
    </w:p>
    <w:p w:rsidR="00012B09" w:rsidRDefault="00012B09" w:rsidP="00A81D14">
      <w:pPr>
        <w:spacing w:after="0" w:line="240" w:lineRule="auto"/>
        <w:jc w:val="both"/>
        <w:rPr>
          <w:rFonts w:ascii="Arial Narrow" w:hAnsi="Arial Narrow"/>
        </w:rPr>
      </w:pPr>
    </w:p>
    <w:p w:rsidR="00941541" w:rsidRP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 xml:space="preserve">Les matériaux contenant de l’amiante peuvent libérer des fibres d’amiante qui peuvent se déposer partout et pénétrer au plus profond des poumons. </w:t>
      </w:r>
    </w:p>
    <w:p w:rsidR="00941541" w:rsidRP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 xml:space="preserve">En pénétrant dans les poumons les fibres d’amiante peuvent induire différentes maladies : </w:t>
      </w:r>
    </w:p>
    <w:p w:rsidR="00941541" w:rsidRPr="00941541" w:rsidRDefault="00941541" w:rsidP="00A81D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 xml:space="preserve">Les </w:t>
      </w:r>
      <w:r w:rsidRPr="00A81D14">
        <w:rPr>
          <w:rFonts w:ascii="Arial Narrow" w:hAnsi="Arial Narrow"/>
          <w:b/>
        </w:rPr>
        <w:t>fibroses</w:t>
      </w:r>
      <w:r w:rsidRPr="00941541">
        <w:rPr>
          <w:rFonts w:ascii="Arial Narrow" w:hAnsi="Arial Narrow"/>
        </w:rPr>
        <w:t xml:space="preserve"> (asbestose, plaques pleurales)</w:t>
      </w:r>
    </w:p>
    <w:p w:rsidR="00941541" w:rsidRPr="00941541" w:rsidRDefault="00941541" w:rsidP="00A81D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 xml:space="preserve">Les </w:t>
      </w:r>
      <w:r w:rsidRPr="00A81D14">
        <w:rPr>
          <w:rFonts w:ascii="Arial Narrow" w:hAnsi="Arial Narrow"/>
          <w:b/>
        </w:rPr>
        <w:t>cancers</w:t>
      </w:r>
      <w:r w:rsidRPr="00941541">
        <w:rPr>
          <w:rFonts w:ascii="Arial Narrow" w:hAnsi="Arial Narrow"/>
        </w:rPr>
        <w:t xml:space="preserve"> (cancer broncho-pulmonaire, </w:t>
      </w:r>
      <w:proofErr w:type="spellStart"/>
      <w:r w:rsidRPr="00941541">
        <w:rPr>
          <w:rFonts w:ascii="Arial Narrow" w:hAnsi="Arial Narrow"/>
        </w:rPr>
        <w:t>mésothélium</w:t>
      </w:r>
      <w:proofErr w:type="spellEnd"/>
      <w:r w:rsidRPr="00941541">
        <w:rPr>
          <w:rFonts w:ascii="Arial Narrow" w:hAnsi="Arial Narrow"/>
        </w:rPr>
        <w:t xml:space="preserve">) </w:t>
      </w:r>
    </w:p>
    <w:p w:rsidR="00941541" w:rsidRP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 w:rsidRPr="00941541">
        <w:rPr>
          <w:rFonts w:ascii="Arial Narrow" w:hAnsi="Arial Narrow"/>
        </w:rPr>
        <w:t xml:space="preserve">Ces maladies ont un </w:t>
      </w:r>
      <w:r w:rsidRPr="00A81D14">
        <w:rPr>
          <w:rFonts w:ascii="Arial Narrow" w:hAnsi="Arial Narrow"/>
          <w:b/>
        </w:rPr>
        <w:t>temps de latence le plus souvent élevé</w:t>
      </w:r>
      <w:r w:rsidRPr="00941541">
        <w:rPr>
          <w:rFonts w:ascii="Arial Narrow" w:hAnsi="Arial Narrow"/>
        </w:rPr>
        <w:t xml:space="preserve">, se comptant en dizaine d’années, entre le début de l’exposition et les premières manifestations cliniques.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</w:p>
    <w:p w:rsidR="00941541" w:rsidRPr="00941541" w:rsidRDefault="00941541" w:rsidP="00941541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941541">
        <w:rPr>
          <w:rFonts w:ascii="Arial Narrow" w:hAnsi="Arial Narrow"/>
          <w:b/>
          <w:color w:val="1F497D" w:themeColor="text2"/>
        </w:rPr>
        <w:t xml:space="preserve">L’amiante au CIMAP :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n’y a pas d’amiante sur le site du CIMAP-ENSI. </w:t>
      </w:r>
    </w:p>
    <w:p w:rsidR="00012B09" w:rsidRDefault="00012B09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 GANIL, </w:t>
      </w:r>
      <w:r w:rsidR="00941541">
        <w:rPr>
          <w:rFonts w:ascii="Arial Narrow" w:hAnsi="Arial Narrow"/>
        </w:rPr>
        <w:t>on trouve de l’</w:t>
      </w:r>
      <w:r>
        <w:rPr>
          <w:rFonts w:ascii="Arial Narrow" w:hAnsi="Arial Narrow"/>
        </w:rPr>
        <w:t xml:space="preserve">amiante dans </w:t>
      </w:r>
      <w:r w:rsidR="00941541">
        <w:rPr>
          <w:rFonts w:ascii="Arial Narrow" w:hAnsi="Arial Narrow"/>
        </w:rPr>
        <w:t xml:space="preserve">certaines </w:t>
      </w:r>
      <w:r w:rsidRPr="00A81D14">
        <w:rPr>
          <w:rFonts w:ascii="Arial Narrow" w:hAnsi="Arial Narrow"/>
          <w:b/>
        </w:rPr>
        <w:t xml:space="preserve">dalles de sol </w:t>
      </w:r>
      <w:r w:rsidR="00941541" w:rsidRPr="00A81D14">
        <w:rPr>
          <w:rFonts w:ascii="Arial Narrow" w:hAnsi="Arial Narrow"/>
          <w:b/>
        </w:rPr>
        <w:t xml:space="preserve">en </w:t>
      </w:r>
      <w:r w:rsidRPr="00A81D14">
        <w:rPr>
          <w:rFonts w:ascii="Arial Narrow" w:hAnsi="Arial Narrow"/>
          <w:b/>
        </w:rPr>
        <w:t>vinyle et la colle associée</w:t>
      </w:r>
      <w:r>
        <w:rPr>
          <w:rFonts w:ascii="Arial Narrow" w:hAnsi="Arial Narrow"/>
        </w:rPr>
        <w:t xml:space="preserve">, </w:t>
      </w:r>
      <w:r w:rsidR="00941541">
        <w:rPr>
          <w:rFonts w:ascii="Arial Narrow" w:hAnsi="Arial Narrow"/>
        </w:rPr>
        <w:t>dans d</w:t>
      </w:r>
      <w:r>
        <w:rPr>
          <w:rFonts w:ascii="Arial Narrow" w:hAnsi="Arial Narrow"/>
        </w:rPr>
        <w:t xml:space="preserve">es </w:t>
      </w:r>
      <w:r w:rsidRPr="00A81D14">
        <w:rPr>
          <w:rFonts w:ascii="Arial Narrow" w:hAnsi="Arial Narrow"/>
          <w:b/>
        </w:rPr>
        <w:t xml:space="preserve">plaques en </w:t>
      </w:r>
      <w:proofErr w:type="spellStart"/>
      <w:r w:rsidRPr="00A81D14">
        <w:rPr>
          <w:rFonts w:ascii="Arial Narrow" w:hAnsi="Arial Narrow"/>
          <w:b/>
        </w:rPr>
        <w:t>fibro-ciment</w:t>
      </w:r>
      <w:proofErr w:type="spellEnd"/>
      <w:r>
        <w:rPr>
          <w:rFonts w:ascii="Arial Narrow" w:hAnsi="Arial Narrow"/>
        </w:rPr>
        <w:t xml:space="preserve"> et sur certains </w:t>
      </w:r>
      <w:r w:rsidRPr="00A81D14">
        <w:rPr>
          <w:rFonts w:ascii="Arial Narrow" w:hAnsi="Arial Narrow"/>
          <w:b/>
        </w:rPr>
        <w:t>établis</w:t>
      </w:r>
      <w:r>
        <w:rPr>
          <w:rFonts w:ascii="Arial Narrow" w:hAnsi="Arial Narrow"/>
        </w:rPr>
        <w:t xml:space="preserve">.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plans des zones concernées </w:t>
      </w:r>
      <w:r w:rsidR="00F55A1E">
        <w:rPr>
          <w:rFonts w:ascii="Arial Narrow" w:hAnsi="Arial Narrow"/>
        </w:rPr>
        <w:t xml:space="preserve">et la liste des établis contenant de l’amiante </w:t>
      </w:r>
      <w:r>
        <w:rPr>
          <w:rFonts w:ascii="Arial Narrow" w:hAnsi="Arial Narrow"/>
        </w:rPr>
        <w:t xml:space="preserve">sont disponibles ci-après. Le pictogramme « amiante » sera apposé prochainement sur les établis.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A81D14">
        <w:rPr>
          <w:rFonts w:ascii="Arial Narrow" w:hAnsi="Arial Narrow"/>
        </w:rPr>
        <w:t>propriétaire</w:t>
      </w:r>
      <w:r>
        <w:rPr>
          <w:rFonts w:ascii="Arial Narrow" w:hAnsi="Arial Narrow"/>
        </w:rPr>
        <w:t xml:space="preserve"> des bâtiments a obligation de repérer les matériaux </w:t>
      </w:r>
      <w:r w:rsidR="00533E22">
        <w:rPr>
          <w:rFonts w:ascii="Arial Narrow" w:hAnsi="Arial Narrow"/>
        </w:rPr>
        <w:t>susceptible</w:t>
      </w:r>
      <w:r>
        <w:rPr>
          <w:rFonts w:ascii="Arial Narrow" w:hAnsi="Arial Narrow"/>
        </w:rPr>
        <w:t xml:space="preserve"> de contenir de l’amiante et doit tenir à disposition les résultats dans le </w:t>
      </w:r>
      <w:r w:rsidRPr="00A81D14">
        <w:rPr>
          <w:rFonts w:ascii="Arial Narrow" w:hAnsi="Arial Narrow"/>
          <w:b/>
        </w:rPr>
        <w:t>Dossier Technique Amiante</w:t>
      </w:r>
      <w:r w:rsidR="00A81D14">
        <w:rPr>
          <w:rFonts w:ascii="Arial Narrow" w:hAnsi="Arial Narrow"/>
        </w:rPr>
        <w:t xml:space="preserve"> (DTA)</w:t>
      </w:r>
      <w:r>
        <w:rPr>
          <w:rFonts w:ascii="Arial Narrow" w:hAnsi="Arial Narrow"/>
        </w:rPr>
        <w:t xml:space="preserve">. </w:t>
      </w:r>
      <w:r w:rsidR="00A81D14">
        <w:rPr>
          <w:rFonts w:ascii="Arial Narrow" w:hAnsi="Arial Narrow"/>
        </w:rPr>
        <w:t xml:space="preserve">Le DTA contient également les résultats de l’évaluation de l’état de conservation des matériaux amiantés. </w:t>
      </w:r>
      <w:r w:rsidR="0043272E">
        <w:rPr>
          <w:rFonts w:ascii="Arial Narrow" w:hAnsi="Arial Narrow"/>
        </w:rPr>
        <w:t xml:space="preserve">Le GANIL réalise des </w:t>
      </w:r>
      <w:r w:rsidR="0043272E" w:rsidRPr="00FA7282">
        <w:rPr>
          <w:rFonts w:ascii="Arial Narrow" w:hAnsi="Arial Narrow"/>
          <w:b/>
        </w:rPr>
        <w:t>prélèvements d’air tous les 3 ans dans les zones les plus dégradées</w:t>
      </w:r>
      <w:r w:rsidR="0043272E">
        <w:rPr>
          <w:rFonts w:ascii="Arial Narrow" w:hAnsi="Arial Narrow"/>
        </w:rPr>
        <w:t xml:space="preserve"> afin de s’assurer du non dépassement </w:t>
      </w:r>
      <w:r w:rsidR="00FA7282">
        <w:rPr>
          <w:rFonts w:ascii="Arial Narrow" w:hAnsi="Arial Narrow"/>
        </w:rPr>
        <w:t>des valeurs limites réglementaires</w:t>
      </w:r>
      <w:r w:rsidR="0043272E">
        <w:rPr>
          <w:rFonts w:ascii="Arial Narrow" w:hAnsi="Arial Narrow"/>
        </w:rPr>
        <w:t xml:space="preserve">.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DTA sont consultables au service technique du GANIL et au service hygiène et sécurité de l’ENSICAEN. </w:t>
      </w:r>
    </w:p>
    <w:p w:rsidR="00012B09" w:rsidRDefault="00012B09" w:rsidP="00A81D14">
      <w:pPr>
        <w:spacing w:after="0" w:line="240" w:lineRule="auto"/>
        <w:jc w:val="both"/>
        <w:rPr>
          <w:rFonts w:ascii="Arial Narrow" w:hAnsi="Arial Narrow"/>
        </w:rPr>
      </w:pPr>
    </w:p>
    <w:p w:rsidR="00941541" w:rsidRPr="00941541" w:rsidRDefault="00941541" w:rsidP="00941541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941541">
        <w:rPr>
          <w:rFonts w:ascii="Arial Narrow" w:hAnsi="Arial Narrow"/>
          <w:b/>
          <w:color w:val="1F497D" w:themeColor="text2"/>
        </w:rPr>
        <w:t xml:space="preserve">Interventions sur les matériaux contenant de l’amiante : </w:t>
      </w:r>
    </w:p>
    <w:p w:rsidR="00941541" w:rsidRDefault="00941541" w:rsidP="00A81D14">
      <w:pPr>
        <w:spacing w:after="0" w:line="240" w:lineRule="auto"/>
        <w:jc w:val="both"/>
        <w:rPr>
          <w:rFonts w:ascii="Arial Narrow" w:hAnsi="Arial Narrow"/>
        </w:rPr>
      </w:pPr>
    </w:p>
    <w:p w:rsidR="00941541" w:rsidRPr="00A81D14" w:rsidRDefault="00941541" w:rsidP="00A81D14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  <w:r w:rsidRPr="00A81D14">
        <w:rPr>
          <w:rFonts w:ascii="Arial Narrow" w:hAnsi="Arial Narrow"/>
          <w:b/>
          <w:color w:val="FF0000"/>
        </w:rPr>
        <w:t xml:space="preserve">Il est strictement interdit d’intervenir </w:t>
      </w:r>
      <w:r w:rsidR="008673D3" w:rsidRPr="00A81D14">
        <w:rPr>
          <w:rFonts w:ascii="Arial Narrow" w:hAnsi="Arial Narrow"/>
          <w:b/>
          <w:color w:val="FF0000"/>
        </w:rPr>
        <w:t>sur les matériaux contenant de l’amiante.</w:t>
      </w:r>
    </w:p>
    <w:p w:rsidR="00012B09" w:rsidRDefault="00533E22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8673D3" w:rsidRPr="00533E22">
        <w:rPr>
          <w:rFonts w:ascii="Arial Narrow" w:hAnsi="Arial Narrow"/>
        </w:rPr>
        <w:t xml:space="preserve">es matériaux </w:t>
      </w:r>
      <w:r>
        <w:rPr>
          <w:rFonts w:ascii="Arial Narrow" w:hAnsi="Arial Narrow"/>
        </w:rPr>
        <w:t xml:space="preserve">contenant de l’amiante repérés dans les bâtiments du CIMAP </w:t>
      </w:r>
      <w:r w:rsidRPr="00533E22">
        <w:rPr>
          <w:rFonts w:ascii="Arial Narrow" w:hAnsi="Arial Narrow"/>
        </w:rPr>
        <w:t xml:space="preserve">(amiante-ciment, </w:t>
      </w:r>
      <w:proofErr w:type="spellStart"/>
      <w:r w:rsidRPr="00533E22">
        <w:rPr>
          <w:rFonts w:ascii="Arial Narrow" w:hAnsi="Arial Narrow"/>
        </w:rPr>
        <w:t>vinyl</w:t>
      </w:r>
      <w:proofErr w:type="spellEnd"/>
      <w:r w:rsidRPr="00533E22">
        <w:rPr>
          <w:rFonts w:ascii="Arial Narrow" w:hAnsi="Arial Narrow"/>
        </w:rPr>
        <w:t>-amiante, colle, …)</w:t>
      </w:r>
      <w:r>
        <w:rPr>
          <w:rFonts w:ascii="Arial Narrow" w:hAnsi="Arial Narrow"/>
        </w:rPr>
        <w:t xml:space="preserve"> ne sont pas susceptibles de libérer spontanément des fibres d’amiante. Il est par contre important de </w:t>
      </w:r>
      <w:r w:rsidRPr="00A81D14">
        <w:rPr>
          <w:rFonts w:ascii="Arial Narrow" w:hAnsi="Arial Narrow"/>
          <w:b/>
        </w:rPr>
        <w:t>s</w:t>
      </w:r>
      <w:r w:rsidR="00012B09" w:rsidRPr="00A81D14">
        <w:rPr>
          <w:rFonts w:ascii="Arial Narrow" w:hAnsi="Arial Narrow"/>
          <w:b/>
        </w:rPr>
        <w:t xml:space="preserve">ignaler </w:t>
      </w:r>
      <w:r w:rsidR="00A81D14" w:rsidRPr="00A81D14">
        <w:rPr>
          <w:rFonts w:ascii="Arial Narrow" w:hAnsi="Arial Narrow"/>
          <w:b/>
        </w:rPr>
        <w:t>toutes</w:t>
      </w:r>
      <w:r w:rsidR="00012B09" w:rsidRPr="00A81D14">
        <w:rPr>
          <w:rFonts w:ascii="Arial Narrow" w:hAnsi="Arial Narrow"/>
          <w:b/>
        </w:rPr>
        <w:t xml:space="preserve"> dégradations</w:t>
      </w:r>
      <w:r w:rsidR="00012B09">
        <w:rPr>
          <w:rFonts w:ascii="Arial Narrow" w:hAnsi="Arial Narrow"/>
        </w:rPr>
        <w:t xml:space="preserve"> </w:t>
      </w:r>
      <w:r w:rsidR="00A81D14">
        <w:rPr>
          <w:rFonts w:ascii="Arial Narrow" w:hAnsi="Arial Narrow"/>
        </w:rPr>
        <w:t>d</w:t>
      </w:r>
      <w:r w:rsidR="00012B09">
        <w:rPr>
          <w:rFonts w:ascii="Arial Narrow" w:hAnsi="Arial Narrow"/>
        </w:rPr>
        <w:t>es matériaux contenant de l’amiante</w:t>
      </w:r>
      <w:r>
        <w:rPr>
          <w:rFonts w:ascii="Arial Narrow" w:hAnsi="Arial Narrow"/>
        </w:rPr>
        <w:t xml:space="preserve">. </w:t>
      </w:r>
    </w:p>
    <w:p w:rsidR="00012B09" w:rsidRDefault="00012B09" w:rsidP="00A81D14">
      <w:pPr>
        <w:spacing w:after="0" w:line="240" w:lineRule="auto"/>
        <w:jc w:val="both"/>
        <w:rPr>
          <w:rFonts w:ascii="Arial Narrow" w:hAnsi="Arial Narrow"/>
        </w:rPr>
      </w:pPr>
    </w:p>
    <w:p w:rsidR="00A81D14" w:rsidRDefault="00012B09" w:rsidP="00A81D14">
      <w:pPr>
        <w:spacing w:after="0" w:line="240" w:lineRule="auto"/>
        <w:jc w:val="both"/>
        <w:rPr>
          <w:rFonts w:ascii="Arial Narrow" w:hAnsi="Arial Narrow"/>
        </w:rPr>
      </w:pPr>
      <w:r w:rsidRPr="00A81D14">
        <w:rPr>
          <w:rFonts w:ascii="Arial Narrow" w:hAnsi="Arial Narrow"/>
        </w:rPr>
        <w:t>Certaines activités peuvent amener un nombre restreint</w:t>
      </w:r>
      <w:r w:rsidR="00941541" w:rsidRPr="00A81D14">
        <w:rPr>
          <w:rFonts w:ascii="Arial Narrow" w:hAnsi="Arial Narrow"/>
        </w:rPr>
        <w:t xml:space="preserve"> </w:t>
      </w:r>
      <w:r w:rsidRPr="00A81D14">
        <w:rPr>
          <w:rFonts w:ascii="Arial Narrow" w:hAnsi="Arial Narrow"/>
        </w:rPr>
        <w:t>d’agents à intervenir sur des matériaux ou appareils</w:t>
      </w:r>
      <w:r w:rsidR="00941541" w:rsidRPr="00A81D14">
        <w:rPr>
          <w:rFonts w:ascii="Arial Narrow" w:hAnsi="Arial Narrow"/>
        </w:rPr>
        <w:t xml:space="preserve"> </w:t>
      </w:r>
      <w:r w:rsidRPr="00A81D14">
        <w:rPr>
          <w:rFonts w:ascii="Arial Narrow" w:hAnsi="Arial Narrow"/>
        </w:rPr>
        <w:t>susceptibles de libérer des fibres d’amiante à l’occasion</w:t>
      </w:r>
      <w:r w:rsidR="00941541" w:rsidRPr="00A81D14">
        <w:rPr>
          <w:rFonts w:ascii="Arial Narrow" w:hAnsi="Arial Narrow"/>
        </w:rPr>
        <w:t xml:space="preserve"> </w:t>
      </w:r>
      <w:r w:rsidRPr="00A81D14">
        <w:rPr>
          <w:rFonts w:ascii="Arial Narrow" w:hAnsi="Arial Narrow"/>
        </w:rPr>
        <w:t>de travaux (perçage, câblage, déménagement,</w:t>
      </w:r>
      <w:r w:rsidR="00941541" w:rsidRPr="00A81D14">
        <w:rPr>
          <w:rFonts w:ascii="Arial Narrow" w:hAnsi="Arial Narrow"/>
        </w:rPr>
        <w:t xml:space="preserve"> </w:t>
      </w:r>
      <w:r w:rsidRPr="00A81D14">
        <w:rPr>
          <w:rFonts w:ascii="Arial Narrow" w:hAnsi="Arial Narrow"/>
        </w:rPr>
        <w:t>maintenance…).</w:t>
      </w:r>
      <w:r w:rsidR="00A81D14">
        <w:rPr>
          <w:rFonts w:ascii="Arial Narrow" w:hAnsi="Arial Narrow"/>
        </w:rPr>
        <w:t xml:space="preserve"> </w:t>
      </w:r>
      <w:r w:rsidR="00D300E8" w:rsidRPr="00A81D14">
        <w:rPr>
          <w:rFonts w:ascii="Arial Narrow" w:hAnsi="Arial Narrow"/>
        </w:rPr>
        <w:t>Par conséquent tout</w:t>
      </w:r>
      <w:r w:rsidR="00BB1021" w:rsidRPr="00A81D14">
        <w:rPr>
          <w:rFonts w:ascii="Arial Narrow" w:hAnsi="Arial Narrow"/>
        </w:rPr>
        <w:t>es</w:t>
      </w:r>
      <w:r w:rsidR="00D300E8" w:rsidRPr="00A81D14">
        <w:rPr>
          <w:rFonts w:ascii="Arial Narrow" w:hAnsi="Arial Narrow"/>
        </w:rPr>
        <w:t xml:space="preserve"> opérations sur des matériaux contenant de l’amiante doit être réalisée par du personnel dûment formé et selon un protocole strict. </w:t>
      </w:r>
      <w:r w:rsidR="00BB1021" w:rsidRPr="00A81D14">
        <w:rPr>
          <w:rFonts w:ascii="Arial Narrow" w:hAnsi="Arial Narrow"/>
        </w:rPr>
        <w:t xml:space="preserve">Les opérations de confinement ou de retrait doivent être </w:t>
      </w:r>
      <w:r w:rsidR="00BB1021" w:rsidRPr="00A81D14">
        <w:rPr>
          <w:rFonts w:ascii="Arial Narrow" w:hAnsi="Arial Narrow"/>
          <w:b/>
        </w:rPr>
        <w:t>confiées à des entreprises certifiées</w:t>
      </w:r>
      <w:r w:rsidR="00BB1021" w:rsidRPr="00A81D14">
        <w:rPr>
          <w:rFonts w:ascii="Arial Narrow" w:hAnsi="Arial Narrow"/>
        </w:rPr>
        <w:t xml:space="preserve">. </w:t>
      </w:r>
    </w:p>
    <w:p w:rsidR="00A81D14" w:rsidRDefault="00A81D14" w:rsidP="00A81D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Lorsque vous faites intervenir des Entreprises Extérieures dans des locaux contenant de l’amiante, vous devez faire signer le DTA. </w:t>
      </w:r>
    </w:p>
    <w:p w:rsidR="00AB5A9E" w:rsidRDefault="00AB5A9E" w:rsidP="004F447C">
      <w:pPr>
        <w:spacing w:after="0" w:line="240" w:lineRule="auto"/>
        <w:jc w:val="both"/>
        <w:rPr>
          <w:rFonts w:ascii="Arial Narrow" w:hAnsi="Arial Narrow"/>
          <w:i/>
        </w:rPr>
      </w:pPr>
    </w:p>
    <w:p w:rsidR="00425805" w:rsidRDefault="00425805" w:rsidP="00425805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Pour en savoir plus : </w:t>
      </w:r>
    </w:p>
    <w:p w:rsidR="00FA11BD" w:rsidRDefault="00A81D14" w:rsidP="00FA11B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L’amiante, en prévenir les risques – Brochure du ministère de l’éducation nationale et de l’enseignement supérieur</w:t>
      </w:r>
    </w:p>
    <w:p w:rsidR="002838E5" w:rsidRPr="00FA7282" w:rsidRDefault="00A81D14" w:rsidP="00FA7282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Site de l’INRS : </w:t>
      </w:r>
      <w:hyperlink r:id="rId9" w:history="1">
        <w:r w:rsidR="002838E5" w:rsidRPr="00C85540">
          <w:rPr>
            <w:rStyle w:val="Lienhypertexte"/>
            <w:rFonts w:ascii="Arial Narrow" w:hAnsi="Arial Narrow"/>
            <w:i/>
          </w:rPr>
          <w:t>http://www.amiante.inrs.fr</w:t>
        </w:r>
      </w:hyperlink>
      <w:r w:rsidR="002838E5" w:rsidRPr="00FA7282">
        <w:rPr>
          <w:rFonts w:ascii="Arial Narrow" w:hAnsi="Arial Narrow"/>
          <w:i/>
        </w:rPr>
        <w:br w:type="page"/>
      </w: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w:lastRenderedPageBreak/>
        <w:drawing>
          <wp:inline distT="0" distB="0" distL="0" distR="0">
            <wp:extent cx="5445905" cy="3829575"/>
            <wp:effectExtent l="19050" t="0" r="239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57" t="8538" r="8773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34" cy="38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Bâtiment Acquisition Sud</w:t>
      </w: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w:drawing>
          <wp:inline distT="0" distB="0" distL="0" distR="0">
            <wp:extent cx="5429007" cy="3829574"/>
            <wp:effectExtent l="19050" t="0" r="24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930" t="8668" r="9064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05" cy="383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Bâtiment CIMAP</w:t>
      </w: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</w:p>
    <w:p w:rsid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w:drawing>
          <wp:inline distT="0" distB="0" distL="0" distR="0">
            <wp:extent cx="1633910" cy="1652631"/>
            <wp:effectExtent l="19050" t="0" r="439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75" t="48900" r="79328" b="2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62" cy="165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noProof/>
          <w:lang w:eastAsia="fr-FR"/>
        </w:rPr>
        <w:drawing>
          <wp:inline distT="0" distB="0" distL="0" distR="0">
            <wp:extent cx="2086587" cy="4668796"/>
            <wp:effectExtent l="19050" t="0" r="8913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001" t="16683" r="46538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06" cy="46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noProof/>
          <w:lang w:eastAsia="fr-FR"/>
        </w:rPr>
        <w:drawing>
          <wp:inline distT="0" distB="0" distL="0" distR="0">
            <wp:extent cx="1839111" cy="3349701"/>
            <wp:effectExtent l="19050" t="0" r="8739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27" t="17192" r="16186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95" cy="33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E5" w:rsidRPr="002838E5" w:rsidRDefault="002838E5" w:rsidP="002838E5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Liste des établis contenant de l’amiante</w:t>
      </w:r>
    </w:p>
    <w:sectPr w:rsidR="002838E5" w:rsidRPr="002838E5" w:rsidSect="00E879A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2E" w:rsidRDefault="0043272E" w:rsidP="008B5CDA">
      <w:pPr>
        <w:spacing w:after="0" w:line="240" w:lineRule="auto"/>
      </w:pPr>
      <w:r>
        <w:separator/>
      </w:r>
    </w:p>
  </w:endnote>
  <w:endnote w:type="continuationSeparator" w:id="0">
    <w:p w:rsidR="0043272E" w:rsidRDefault="0043272E" w:rsidP="008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2E" w:rsidRDefault="0043272E" w:rsidP="008B5CDA">
      <w:pPr>
        <w:spacing w:after="0" w:line="240" w:lineRule="auto"/>
      </w:pPr>
      <w:r>
        <w:separator/>
      </w:r>
    </w:p>
  </w:footnote>
  <w:footnote w:type="continuationSeparator" w:id="0">
    <w:p w:rsidR="0043272E" w:rsidRDefault="0043272E" w:rsidP="008B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1E0"/>
    </w:tblPr>
    <w:tblGrid>
      <w:gridCol w:w="2639"/>
      <w:gridCol w:w="2588"/>
      <w:gridCol w:w="3054"/>
      <w:gridCol w:w="1007"/>
    </w:tblGrid>
    <w:tr w:rsidR="0043272E" w:rsidTr="00427CDC">
      <w:trPr>
        <w:trHeight w:val="423"/>
      </w:trPr>
      <w:tc>
        <w:tcPr>
          <w:tcW w:w="2660" w:type="dxa"/>
          <w:vMerge w:val="restart"/>
          <w:vAlign w:val="center"/>
        </w:tcPr>
        <w:p w:rsidR="0043272E" w:rsidRDefault="0043272E" w:rsidP="00427CDC">
          <w:pPr>
            <w:pStyle w:val="En-tte"/>
            <w:ind w:firstLine="142"/>
            <w:jc w:val="left"/>
          </w:pPr>
          <w:r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gridSpan w:val="3"/>
          <w:shd w:val="clear" w:color="auto" w:fill="auto"/>
          <w:vAlign w:val="center"/>
        </w:tcPr>
        <w:p w:rsidR="0043272E" w:rsidRDefault="0043272E" w:rsidP="00427CDC">
          <w:pPr>
            <w:pStyle w:val="En-tte"/>
            <w:spacing w:before="0"/>
            <w:ind w:firstLine="0"/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Note d’information</w:t>
          </w:r>
        </w:p>
      </w:tc>
    </w:tr>
    <w:tr w:rsidR="0043272E" w:rsidTr="00427CDC">
      <w:trPr>
        <w:trHeight w:val="431"/>
      </w:trPr>
      <w:tc>
        <w:tcPr>
          <w:tcW w:w="2660" w:type="dxa"/>
          <w:vMerge/>
          <w:vAlign w:val="center"/>
        </w:tcPr>
        <w:p w:rsidR="0043272E" w:rsidRDefault="0043272E" w:rsidP="00427CDC">
          <w:pPr>
            <w:pStyle w:val="En-tte"/>
            <w:spacing w:before="0"/>
            <w:ind w:firstLine="0"/>
            <w:jc w:val="left"/>
          </w:pPr>
        </w:p>
      </w:tc>
      <w:tc>
        <w:tcPr>
          <w:tcW w:w="7052" w:type="dxa"/>
          <w:gridSpan w:val="3"/>
          <w:shd w:val="clear" w:color="auto" w:fill="auto"/>
          <w:vAlign w:val="center"/>
        </w:tcPr>
        <w:p w:rsidR="0043272E" w:rsidRPr="00981325" w:rsidRDefault="0043272E" w:rsidP="00427CDC">
          <w:pPr>
            <w:pStyle w:val="En-tte"/>
            <w:spacing w:before="0"/>
            <w:ind w:firstLine="0"/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CIMAP - QSE</w:t>
          </w:r>
        </w:p>
      </w:tc>
    </w:tr>
    <w:tr w:rsidR="0043272E" w:rsidRPr="00DC2CDC" w:rsidTr="00427CDC">
      <w:trPr>
        <w:trHeight w:val="400"/>
      </w:trPr>
      <w:tc>
        <w:tcPr>
          <w:tcW w:w="2660" w:type="dxa"/>
          <w:vAlign w:val="center"/>
        </w:tcPr>
        <w:p w:rsidR="0043272E" w:rsidRPr="00DC2CDC" w:rsidRDefault="0043272E" w:rsidP="00427CDC">
          <w:pPr>
            <w:pStyle w:val="En-tte"/>
            <w:spacing w:before="0"/>
            <w:ind w:firstLine="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émetteur : Q. Legrand</w:t>
          </w:r>
        </w:p>
      </w:tc>
      <w:tc>
        <w:tcPr>
          <w:tcW w:w="2697" w:type="dxa"/>
          <w:shd w:val="clear" w:color="auto" w:fill="auto"/>
          <w:vAlign w:val="center"/>
        </w:tcPr>
        <w:p w:rsidR="0043272E" w:rsidRDefault="0043272E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date </w:t>
          </w:r>
          <w:proofErr w:type="gramStart"/>
          <w:r>
            <w:rPr>
              <w:smallCaps/>
              <w:sz w:val="18"/>
              <w:szCs w:val="18"/>
            </w:rPr>
            <w:t>:28</w:t>
          </w:r>
          <w:proofErr w:type="gramEnd"/>
          <w:r>
            <w:rPr>
              <w:smallCaps/>
              <w:sz w:val="18"/>
              <w:szCs w:val="18"/>
            </w:rPr>
            <w:t>/06/2013</w:t>
          </w:r>
        </w:p>
        <w:p w:rsidR="0043272E" w:rsidRPr="00DC2CDC" w:rsidRDefault="0043272E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Version : 1</w:t>
          </w:r>
        </w:p>
      </w:tc>
      <w:tc>
        <w:tcPr>
          <w:tcW w:w="3305" w:type="dxa"/>
          <w:shd w:val="clear" w:color="auto" w:fill="auto"/>
          <w:vAlign w:val="center"/>
        </w:tcPr>
        <w:p w:rsidR="0043272E" w:rsidRDefault="0043272E" w:rsidP="008B5CDA">
          <w:pPr>
            <w:pStyle w:val="En-tte"/>
            <w:spacing w:before="0"/>
            <w:ind w:firstLine="0"/>
            <w:jc w:val="left"/>
            <w:rPr>
              <w:sz w:val="18"/>
              <w:szCs w:val="18"/>
            </w:rPr>
          </w:pPr>
          <w:proofErr w:type="spellStart"/>
          <w:r w:rsidRPr="00DC2CDC">
            <w:rPr>
              <w:smallCaps/>
              <w:sz w:val="18"/>
              <w:szCs w:val="18"/>
            </w:rPr>
            <w:t>ref</w:t>
          </w:r>
          <w:proofErr w:type="spellEnd"/>
          <w:r w:rsidRPr="00DC2CDC">
            <w:rPr>
              <w:smallCaps/>
              <w:sz w:val="18"/>
              <w:szCs w:val="18"/>
            </w:rPr>
            <w:t> </w:t>
          </w:r>
          <w:r>
            <w:rPr>
              <w:sz w:val="18"/>
              <w:szCs w:val="18"/>
            </w:rPr>
            <w:t>: N-13-03</w:t>
          </w:r>
        </w:p>
      </w:tc>
      <w:tc>
        <w:tcPr>
          <w:tcW w:w="1050" w:type="dxa"/>
          <w:shd w:val="clear" w:color="auto" w:fill="auto"/>
          <w:vAlign w:val="center"/>
        </w:tcPr>
        <w:p w:rsidR="0043272E" w:rsidRPr="00DC2CDC" w:rsidRDefault="0043272E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 w:rsidRPr="00DC2CDC">
            <w:rPr>
              <w:smallCaps/>
              <w:sz w:val="18"/>
              <w:szCs w:val="18"/>
            </w:rPr>
            <w:t>page</w:t>
          </w:r>
          <w:r w:rsidRPr="00DC2CDC">
            <w:rPr>
              <w:sz w:val="18"/>
              <w:szCs w:val="18"/>
            </w:rPr>
            <w:t xml:space="preserve"> </w:t>
          </w:r>
          <w:r w:rsidRPr="00DC2CDC">
            <w:rPr>
              <w:rStyle w:val="Numrodepage"/>
              <w:sz w:val="18"/>
              <w:szCs w:val="18"/>
            </w:rPr>
            <w:fldChar w:fldCharType="begin"/>
          </w:r>
          <w:r w:rsidRPr="00DC2CDC">
            <w:rPr>
              <w:rStyle w:val="Numrodepage"/>
              <w:sz w:val="18"/>
              <w:szCs w:val="18"/>
            </w:rPr>
            <w:instrText xml:space="preserve"> PAGE </w:instrText>
          </w:r>
          <w:r w:rsidRPr="00DC2CDC">
            <w:rPr>
              <w:rStyle w:val="Numrodepage"/>
              <w:sz w:val="18"/>
              <w:szCs w:val="18"/>
            </w:rPr>
            <w:fldChar w:fldCharType="separate"/>
          </w:r>
          <w:r w:rsidR="00CE19DF">
            <w:rPr>
              <w:rStyle w:val="Numrodepage"/>
              <w:noProof/>
              <w:sz w:val="18"/>
              <w:szCs w:val="18"/>
            </w:rPr>
            <w:t>1</w:t>
          </w:r>
          <w:r w:rsidRPr="00DC2CDC">
            <w:rPr>
              <w:rStyle w:val="Numrodepage"/>
              <w:sz w:val="18"/>
              <w:szCs w:val="18"/>
            </w:rPr>
            <w:fldChar w:fldCharType="end"/>
          </w:r>
          <w:r w:rsidRPr="00DC2CDC">
            <w:rPr>
              <w:rStyle w:val="Numrodepage"/>
              <w:sz w:val="18"/>
              <w:szCs w:val="18"/>
            </w:rPr>
            <w:t>/</w:t>
          </w:r>
          <w:r w:rsidRPr="00DC2CDC">
            <w:rPr>
              <w:rStyle w:val="Numrodepage"/>
              <w:sz w:val="18"/>
              <w:szCs w:val="18"/>
            </w:rPr>
            <w:fldChar w:fldCharType="begin"/>
          </w:r>
          <w:r w:rsidRPr="00DC2CDC">
            <w:rPr>
              <w:rStyle w:val="Numrodepage"/>
              <w:sz w:val="18"/>
              <w:szCs w:val="18"/>
            </w:rPr>
            <w:instrText xml:space="preserve"> NUMPAGES </w:instrText>
          </w:r>
          <w:r w:rsidRPr="00DC2CDC">
            <w:rPr>
              <w:rStyle w:val="Numrodepage"/>
              <w:sz w:val="18"/>
              <w:szCs w:val="18"/>
            </w:rPr>
            <w:fldChar w:fldCharType="separate"/>
          </w:r>
          <w:r w:rsidR="00CE19DF">
            <w:rPr>
              <w:rStyle w:val="Numrodepage"/>
              <w:noProof/>
              <w:sz w:val="18"/>
              <w:szCs w:val="18"/>
            </w:rPr>
            <w:t>3</w:t>
          </w:r>
          <w:r w:rsidRPr="00DC2CDC">
            <w:rPr>
              <w:rStyle w:val="Numrodepage"/>
              <w:sz w:val="18"/>
              <w:szCs w:val="18"/>
            </w:rPr>
            <w:fldChar w:fldCharType="end"/>
          </w:r>
        </w:p>
      </w:tc>
    </w:tr>
  </w:tbl>
  <w:p w:rsidR="0043272E" w:rsidRDefault="004327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A1"/>
    <w:multiLevelType w:val="hybridMultilevel"/>
    <w:tmpl w:val="21E26108"/>
    <w:lvl w:ilvl="0" w:tplc="404610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1FAB"/>
    <w:multiLevelType w:val="multilevel"/>
    <w:tmpl w:val="17D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A24"/>
    <w:multiLevelType w:val="hybridMultilevel"/>
    <w:tmpl w:val="148A5140"/>
    <w:lvl w:ilvl="0" w:tplc="65F28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0BDA"/>
    <w:multiLevelType w:val="multilevel"/>
    <w:tmpl w:val="BB7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47D2F"/>
    <w:multiLevelType w:val="multilevel"/>
    <w:tmpl w:val="6F6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56C4D"/>
    <w:multiLevelType w:val="multilevel"/>
    <w:tmpl w:val="2E2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47B50"/>
    <w:multiLevelType w:val="hybridMultilevel"/>
    <w:tmpl w:val="F3F0ED34"/>
    <w:lvl w:ilvl="0" w:tplc="404610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42FC7"/>
    <w:multiLevelType w:val="hybridMultilevel"/>
    <w:tmpl w:val="11DA53DA"/>
    <w:lvl w:ilvl="0" w:tplc="C9DA55A6">
      <w:start w:val="4"/>
      <w:numFmt w:val="bullet"/>
      <w:lvlText w:val="-"/>
      <w:lvlJc w:val="left"/>
      <w:pPr>
        <w:ind w:left="720" w:hanging="360"/>
      </w:pPr>
      <w:rPr>
        <w:rFonts w:ascii="Univers-Condensed" w:eastAsiaTheme="minorHAnsi" w:hAnsi="Univers-Condensed" w:cs="Univers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6D67"/>
    <w:multiLevelType w:val="hybridMultilevel"/>
    <w:tmpl w:val="94B676D4"/>
    <w:lvl w:ilvl="0" w:tplc="4D10E2A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526E7"/>
    <w:multiLevelType w:val="hybridMultilevel"/>
    <w:tmpl w:val="A5F06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DA"/>
    <w:rsid w:val="00012B09"/>
    <w:rsid w:val="000911E3"/>
    <w:rsid w:val="00117018"/>
    <w:rsid w:val="001366DB"/>
    <w:rsid w:val="00172CBF"/>
    <w:rsid w:val="001860FB"/>
    <w:rsid w:val="001B7B2B"/>
    <w:rsid w:val="00216E29"/>
    <w:rsid w:val="002514C4"/>
    <w:rsid w:val="002838E5"/>
    <w:rsid w:val="00285CD5"/>
    <w:rsid w:val="002A4314"/>
    <w:rsid w:val="002B69C1"/>
    <w:rsid w:val="002C7233"/>
    <w:rsid w:val="003A4AC9"/>
    <w:rsid w:val="00400BAB"/>
    <w:rsid w:val="00400BC0"/>
    <w:rsid w:val="00402315"/>
    <w:rsid w:val="00425805"/>
    <w:rsid w:val="00427CDC"/>
    <w:rsid w:val="0043272E"/>
    <w:rsid w:val="00446A86"/>
    <w:rsid w:val="00491D2E"/>
    <w:rsid w:val="004C74ED"/>
    <w:rsid w:val="004D0970"/>
    <w:rsid w:val="004E6A29"/>
    <w:rsid w:val="004F447C"/>
    <w:rsid w:val="005276AC"/>
    <w:rsid w:val="00533E22"/>
    <w:rsid w:val="00536D1D"/>
    <w:rsid w:val="005C1A30"/>
    <w:rsid w:val="005C52B7"/>
    <w:rsid w:val="005D20C9"/>
    <w:rsid w:val="00625883"/>
    <w:rsid w:val="006C77B3"/>
    <w:rsid w:val="006D270B"/>
    <w:rsid w:val="00714E15"/>
    <w:rsid w:val="00721C14"/>
    <w:rsid w:val="00726E93"/>
    <w:rsid w:val="00762B3B"/>
    <w:rsid w:val="007E7F21"/>
    <w:rsid w:val="007F5626"/>
    <w:rsid w:val="00811271"/>
    <w:rsid w:val="00844573"/>
    <w:rsid w:val="00863191"/>
    <w:rsid w:val="008673D3"/>
    <w:rsid w:val="00882C57"/>
    <w:rsid w:val="008B5CDA"/>
    <w:rsid w:val="008E726C"/>
    <w:rsid w:val="00941541"/>
    <w:rsid w:val="009602BC"/>
    <w:rsid w:val="009909CE"/>
    <w:rsid w:val="009964F2"/>
    <w:rsid w:val="009A3720"/>
    <w:rsid w:val="009B210F"/>
    <w:rsid w:val="009B31AB"/>
    <w:rsid w:val="009C285D"/>
    <w:rsid w:val="009E6846"/>
    <w:rsid w:val="00A34764"/>
    <w:rsid w:val="00A81D14"/>
    <w:rsid w:val="00AB5A9E"/>
    <w:rsid w:val="00B55D2C"/>
    <w:rsid w:val="00B8708A"/>
    <w:rsid w:val="00BB1021"/>
    <w:rsid w:val="00BD5579"/>
    <w:rsid w:val="00BD5D2B"/>
    <w:rsid w:val="00C2726A"/>
    <w:rsid w:val="00C33E1A"/>
    <w:rsid w:val="00C62844"/>
    <w:rsid w:val="00C8562A"/>
    <w:rsid w:val="00C903D4"/>
    <w:rsid w:val="00CA1105"/>
    <w:rsid w:val="00CB1A22"/>
    <w:rsid w:val="00CC47B4"/>
    <w:rsid w:val="00CE19DF"/>
    <w:rsid w:val="00CF60EC"/>
    <w:rsid w:val="00CF6802"/>
    <w:rsid w:val="00D300E8"/>
    <w:rsid w:val="00D6503D"/>
    <w:rsid w:val="00D963E2"/>
    <w:rsid w:val="00D9640D"/>
    <w:rsid w:val="00DB0BF0"/>
    <w:rsid w:val="00DF7636"/>
    <w:rsid w:val="00E74C24"/>
    <w:rsid w:val="00E857E9"/>
    <w:rsid w:val="00E864BF"/>
    <w:rsid w:val="00E879A8"/>
    <w:rsid w:val="00F24A3C"/>
    <w:rsid w:val="00F55A1E"/>
    <w:rsid w:val="00F644D4"/>
    <w:rsid w:val="00FA11BD"/>
    <w:rsid w:val="00FA7282"/>
    <w:rsid w:val="00FB1309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A8"/>
  </w:style>
  <w:style w:type="paragraph" w:styleId="Titre3">
    <w:name w:val="heading 3"/>
    <w:basedOn w:val="Normal"/>
    <w:link w:val="Titre3Car"/>
    <w:uiPriority w:val="9"/>
    <w:qFormat/>
    <w:rsid w:val="00136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CDA"/>
  </w:style>
  <w:style w:type="paragraph" w:styleId="Pieddepage">
    <w:name w:val="footer"/>
    <w:basedOn w:val="Normal"/>
    <w:link w:val="PieddepageCar"/>
    <w:uiPriority w:val="99"/>
    <w:semiHidden/>
    <w:unhideWhenUsed/>
    <w:rsid w:val="008B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CDA"/>
  </w:style>
  <w:style w:type="table" w:styleId="Grilledutableau">
    <w:name w:val="Table Grid"/>
    <w:basedOn w:val="TableauNormal"/>
    <w:rsid w:val="008B5CDA"/>
    <w:pPr>
      <w:spacing w:before="120" w:after="0" w:line="28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B5CDA"/>
  </w:style>
  <w:style w:type="paragraph" w:customStyle="1" w:styleId="Default">
    <w:name w:val="Default"/>
    <w:rsid w:val="00721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1E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44573"/>
    <w:rPr>
      <w:b/>
      <w:bCs/>
    </w:rPr>
  </w:style>
  <w:style w:type="paragraph" w:styleId="Paragraphedeliste">
    <w:name w:val="List Paragraph"/>
    <w:basedOn w:val="Normal"/>
    <w:uiPriority w:val="34"/>
    <w:qFormat/>
    <w:rsid w:val="00FB1309"/>
    <w:pPr>
      <w:ind w:left="720"/>
      <w:contextualSpacing/>
    </w:pPr>
  </w:style>
  <w:style w:type="paragraph" w:customStyle="1" w:styleId="titreliste">
    <w:name w:val="titre_liste"/>
    <w:basedOn w:val="Normal"/>
    <w:rsid w:val="001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366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66DB"/>
    <w:rPr>
      <w:color w:val="0000FF"/>
      <w:u w:val="single"/>
    </w:rPr>
  </w:style>
  <w:style w:type="character" w:customStyle="1" w:styleId="definition">
    <w:name w:val="definition"/>
    <w:basedOn w:val="Policepardfaut"/>
    <w:rsid w:val="0013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iante.in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290BF-0B72-45C8-BF1B-357229DC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9</cp:revision>
  <cp:lastPrinted>2013-07-15T11:21:00Z</cp:lastPrinted>
  <dcterms:created xsi:type="dcterms:W3CDTF">2013-06-28T09:02:00Z</dcterms:created>
  <dcterms:modified xsi:type="dcterms:W3CDTF">2013-07-15T11:27:00Z</dcterms:modified>
</cp:coreProperties>
</file>