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B6" w:rsidRDefault="004E3BB6" w:rsidP="00F408E2">
      <w:pPr>
        <w:tabs>
          <w:tab w:val="left" w:pos="6096"/>
        </w:tabs>
        <w:spacing w:after="0"/>
        <w:rPr>
          <w:b/>
          <w:szCs w:val="24"/>
        </w:rPr>
      </w:pPr>
    </w:p>
    <w:p w:rsidR="00F408E2" w:rsidRDefault="00F408E2" w:rsidP="00F408E2">
      <w:pPr>
        <w:tabs>
          <w:tab w:val="left" w:pos="6096"/>
        </w:tabs>
        <w:spacing w:after="0"/>
        <w:rPr>
          <w:b/>
          <w:szCs w:val="24"/>
        </w:rPr>
      </w:pPr>
      <w:r>
        <w:rPr>
          <w:b/>
          <w:szCs w:val="24"/>
        </w:rPr>
        <w:t>Note à l’attention de l’ensemble du personnel du CIMAP :</w:t>
      </w:r>
    </w:p>
    <w:p w:rsidR="00F408E2" w:rsidRDefault="00F408E2" w:rsidP="00F408E2">
      <w:pPr>
        <w:spacing w:after="0"/>
        <w:jc w:val="both"/>
        <w:rPr>
          <w:szCs w:val="24"/>
        </w:rPr>
      </w:pPr>
    </w:p>
    <w:p w:rsidR="00F408E2" w:rsidRPr="004E3BB6" w:rsidRDefault="00F408E2" w:rsidP="00F408E2">
      <w:pPr>
        <w:spacing w:after="0"/>
        <w:jc w:val="both"/>
        <w:rPr>
          <w:b/>
          <w:color w:val="1F497D" w:themeColor="text2"/>
          <w:szCs w:val="24"/>
        </w:rPr>
      </w:pPr>
      <w:r w:rsidRPr="004E3BB6">
        <w:rPr>
          <w:b/>
          <w:color w:val="1F497D" w:themeColor="text2"/>
          <w:szCs w:val="24"/>
          <w:u w:val="single"/>
        </w:rPr>
        <w:t>Objet</w:t>
      </w:r>
      <w:r w:rsidRPr="004E3BB6">
        <w:rPr>
          <w:b/>
          <w:color w:val="1F497D" w:themeColor="text2"/>
          <w:szCs w:val="24"/>
        </w:rPr>
        <w:t> : Risque d’accident lié à l’encombrement et à la promiscuité des expériences</w:t>
      </w:r>
    </w:p>
    <w:p w:rsidR="00F408E2" w:rsidRDefault="00F408E2" w:rsidP="00F408E2">
      <w:pPr>
        <w:spacing w:after="0"/>
        <w:jc w:val="both"/>
        <w:rPr>
          <w:szCs w:val="24"/>
        </w:rPr>
      </w:pPr>
    </w:p>
    <w:p w:rsidR="00F408E2" w:rsidRDefault="00F408E2" w:rsidP="00F408E2">
      <w:pPr>
        <w:spacing w:after="0"/>
        <w:ind w:firstLine="709"/>
        <w:jc w:val="both"/>
        <w:rPr>
          <w:szCs w:val="24"/>
        </w:rPr>
      </w:pPr>
      <w:r>
        <w:rPr>
          <w:szCs w:val="24"/>
        </w:rPr>
        <w:t xml:space="preserve">L’encombrement des lieux de travail est souvent source d’accidents. L’empilement d’objets et d’équipements, la présence de bouteilles de gaz, la faible marge de manœuvre des appareils de levage…sont autant de dangers pouvant conduire à l’incident ou à l’accident (heurts, chute d’objet, chute de plain-pied…). De plus, l’encombrement des halls et le manque de place engendrent des risques d’interférences liés à la promiscuité des expériences (entre elles ou avec des stockages de produits dangereux). </w:t>
      </w:r>
    </w:p>
    <w:p w:rsidR="00F408E2" w:rsidRDefault="00F408E2" w:rsidP="00F408E2">
      <w:pPr>
        <w:spacing w:after="0"/>
        <w:ind w:firstLine="709"/>
        <w:jc w:val="both"/>
        <w:rPr>
          <w:szCs w:val="24"/>
        </w:rPr>
      </w:pPr>
    </w:p>
    <w:p w:rsidR="00F408E2" w:rsidRDefault="00F408E2" w:rsidP="00F408E2">
      <w:pPr>
        <w:spacing w:after="0"/>
        <w:ind w:firstLine="709"/>
        <w:jc w:val="both"/>
        <w:rPr>
          <w:szCs w:val="24"/>
        </w:rPr>
      </w:pPr>
      <w:r>
        <w:rPr>
          <w:szCs w:val="24"/>
        </w:rPr>
        <w:t>Les accidents de plain-pied sont très fréquents et parfois très graves. En 2012, selon les statistiques de l'Assurance Maladie – Risques professionnels, ils ont représenté :</w:t>
      </w:r>
    </w:p>
    <w:p w:rsidR="00F408E2" w:rsidRDefault="00F408E2" w:rsidP="00F408E2">
      <w:pPr>
        <w:numPr>
          <w:ilvl w:val="0"/>
          <w:numId w:val="13"/>
        </w:numPr>
        <w:spacing w:after="0" w:line="240" w:lineRule="auto"/>
        <w:jc w:val="both"/>
        <w:rPr>
          <w:szCs w:val="24"/>
        </w:rPr>
      </w:pPr>
      <w:r>
        <w:rPr>
          <w:szCs w:val="24"/>
        </w:rPr>
        <w:t>25% des accidents avec arrêt</w:t>
      </w:r>
    </w:p>
    <w:p w:rsidR="00F408E2" w:rsidRDefault="00F408E2" w:rsidP="00F408E2">
      <w:pPr>
        <w:numPr>
          <w:ilvl w:val="0"/>
          <w:numId w:val="13"/>
        </w:numPr>
        <w:spacing w:after="0" w:line="240" w:lineRule="auto"/>
        <w:jc w:val="both"/>
        <w:rPr>
          <w:szCs w:val="24"/>
        </w:rPr>
      </w:pPr>
      <w:r>
        <w:rPr>
          <w:szCs w:val="24"/>
        </w:rPr>
        <w:t>24% des accidents ayant entraîné une incapacité permanente</w:t>
      </w:r>
    </w:p>
    <w:p w:rsidR="00F408E2" w:rsidRDefault="00F408E2" w:rsidP="00F408E2">
      <w:pPr>
        <w:numPr>
          <w:ilvl w:val="0"/>
          <w:numId w:val="13"/>
        </w:numPr>
        <w:spacing w:after="0" w:line="240" w:lineRule="auto"/>
        <w:jc w:val="both"/>
        <w:rPr>
          <w:szCs w:val="24"/>
        </w:rPr>
      </w:pPr>
      <w:r>
        <w:rPr>
          <w:szCs w:val="24"/>
        </w:rPr>
        <w:t xml:space="preserve">15 accidents du travail mortels parmi 558 accidents mortels recensés. </w:t>
      </w:r>
    </w:p>
    <w:p w:rsidR="00F408E2" w:rsidRDefault="00F408E2" w:rsidP="00F408E2">
      <w:pPr>
        <w:spacing w:after="0"/>
        <w:jc w:val="both"/>
        <w:rPr>
          <w:szCs w:val="24"/>
        </w:rPr>
      </w:pPr>
      <w:r>
        <w:rPr>
          <w:szCs w:val="24"/>
        </w:rPr>
        <w:t>En cas de perte d'équilibre, la victime peut tomber sur un objet dangereux ou chercher à se rattraper au support le plus proche. Les conséquences dépendront donc de la dangerosité de son environnement.</w:t>
      </w:r>
    </w:p>
    <w:p w:rsidR="00F408E2" w:rsidRDefault="00F408E2" w:rsidP="00F408E2">
      <w:pPr>
        <w:spacing w:after="0"/>
        <w:jc w:val="both"/>
        <w:rPr>
          <w:szCs w:val="24"/>
        </w:rPr>
      </w:pPr>
    </w:p>
    <w:p w:rsidR="00F408E2" w:rsidRDefault="00F408E2" w:rsidP="00F408E2">
      <w:pPr>
        <w:spacing w:after="0"/>
        <w:jc w:val="both"/>
        <w:rPr>
          <w:szCs w:val="24"/>
        </w:rPr>
      </w:pPr>
      <w:r>
        <w:rPr>
          <w:szCs w:val="24"/>
        </w:rPr>
        <w:t xml:space="preserve">Pour éviter ou limiter le risque et ces conséquences : </w:t>
      </w:r>
    </w:p>
    <w:p w:rsidR="00F408E2" w:rsidRDefault="00F408E2" w:rsidP="00F408E2">
      <w:pPr>
        <w:numPr>
          <w:ilvl w:val="0"/>
          <w:numId w:val="13"/>
        </w:numPr>
        <w:spacing w:after="0" w:line="240" w:lineRule="auto"/>
        <w:jc w:val="both"/>
        <w:rPr>
          <w:szCs w:val="24"/>
        </w:rPr>
      </w:pPr>
      <w:r>
        <w:rPr>
          <w:b/>
          <w:bCs/>
          <w:szCs w:val="24"/>
        </w:rPr>
        <w:t>L’organisation et le rangement des halls et salles d’expériences</w:t>
      </w:r>
      <w:r>
        <w:rPr>
          <w:szCs w:val="24"/>
        </w:rPr>
        <w:t xml:space="preserve"> sont indispensables. L’ensemble des lieux du laboratoire doit être accessible sans avoir à enjamber ou déplacer les équipements stockés. </w:t>
      </w:r>
      <w:r>
        <w:t xml:space="preserve">Des réflexes simples tels que le stockage des produits chimiques dans les armoires prévues à cet effet, l’arrimage des bouteilles de gaz ou encore le stockage de plain-pied des charges lourdes peuvent éviter l’accident. </w:t>
      </w:r>
    </w:p>
    <w:p w:rsidR="00F408E2" w:rsidRDefault="00F408E2" w:rsidP="00F408E2">
      <w:pPr>
        <w:numPr>
          <w:ilvl w:val="0"/>
          <w:numId w:val="13"/>
        </w:numPr>
        <w:spacing w:after="0" w:line="240" w:lineRule="auto"/>
        <w:jc w:val="both"/>
        <w:rPr>
          <w:szCs w:val="24"/>
        </w:rPr>
      </w:pPr>
      <w:r>
        <w:rPr>
          <w:b/>
          <w:bCs/>
          <w:szCs w:val="24"/>
        </w:rPr>
        <w:t>Le respect du port des EPI :</w:t>
      </w:r>
      <w:r>
        <w:rPr>
          <w:szCs w:val="24"/>
        </w:rPr>
        <w:t xml:space="preserve"> Le port de chaussures de sécurité et de la blouse dans les ateliers et lors de la manipulation de charge lourde peut éviter ou limiter le risque et ces conséquences. </w:t>
      </w:r>
    </w:p>
    <w:p w:rsidR="00F408E2" w:rsidRDefault="00F408E2" w:rsidP="00F408E2">
      <w:pPr>
        <w:numPr>
          <w:ilvl w:val="0"/>
          <w:numId w:val="13"/>
        </w:numPr>
        <w:spacing w:after="0" w:line="240" w:lineRule="auto"/>
        <w:jc w:val="both"/>
        <w:rPr>
          <w:szCs w:val="24"/>
        </w:rPr>
      </w:pPr>
      <w:r>
        <w:rPr>
          <w:b/>
          <w:bCs/>
          <w:szCs w:val="24"/>
        </w:rPr>
        <w:t>L’accessibilité des moyens de secours :</w:t>
      </w:r>
      <w:r>
        <w:rPr>
          <w:szCs w:val="24"/>
        </w:rPr>
        <w:t xml:space="preserve"> pour éviter qu’un simple incident se transforme en accident, il est indispensable que les extincteurs et les issues de secours soient en permanence accessibles.</w:t>
      </w:r>
    </w:p>
    <w:p w:rsidR="00F408E2" w:rsidRDefault="00F408E2" w:rsidP="00F408E2">
      <w:pPr>
        <w:numPr>
          <w:ilvl w:val="0"/>
          <w:numId w:val="13"/>
        </w:numPr>
        <w:spacing w:after="0" w:line="240" w:lineRule="auto"/>
        <w:jc w:val="both"/>
      </w:pPr>
      <w:r>
        <w:rPr>
          <w:b/>
          <w:bCs/>
          <w:szCs w:val="24"/>
        </w:rPr>
        <w:t>Le balisage et l’information des expériences en cours et des objets dangereux stockés :</w:t>
      </w:r>
      <w:r>
        <w:rPr>
          <w:szCs w:val="24"/>
        </w:rPr>
        <w:t xml:space="preserve"> pour limiter les risques d’interférences entre les expériences et les stockages associés, </w:t>
      </w:r>
      <w:r>
        <w:t xml:space="preserve">il est nécessaire d’être vigilant au balisage des expériences en cours et du matériel susceptible d’être dangereux. Il est impératif que chaque expérience informe sur les dangers présents sur leurs sites afin de prévenir tout risque d’interférence. Le service sécurité fourni toutes les signalisations des divers risques, les équipements de balisage et apporte son aide à l’identification des risques. </w:t>
      </w:r>
    </w:p>
    <w:p w:rsidR="00F408E2" w:rsidRDefault="00F408E2" w:rsidP="00F408E2">
      <w:pPr>
        <w:spacing w:after="0"/>
        <w:jc w:val="both"/>
        <w:rPr>
          <w:szCs w:val="24"/>
        </w:rPr>
      </w:pPr>
    </w:p>
    <w:p w:rsidR="00F408E2" w:rsidRDefault="00F408E2" w:rsidP="00F408E2">
      <w:pPr>
        <w:spacing w:after="0"/>
        <w:jc w:val="both"/>
        <w:rPr>
          <w:szCs w:val="24"/>
        </w:rPr>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r>
        <w:rPr>
          <w:noProof/>
          <w:lang w:eastAsia="fr-FR"/>
        </w:rPr>
        <w:drawing>
          <wp:anchor distT="0" distB="0" distL="114300" distR="114300" simplePos="0" relativeHeight="251658240" behindDoc="0" locked="0" layoutInCell="1" allowOverlap="1">
            <wp:simplePos x="0" y="0"/>
            <wp:positionH relativeFrom="column">
              <wp:posOffset>2957218</wp:posOffset>
            </wp:positionH>
            <wp:positionV relativeFrom="paragraph">
              <wp:posOffset>160783</wp:posOffset>
            </wp:positionV>
            <wp:extent cx="2980015" cy="3980576"/>
            <wp:effectExtent l="19050" t="0" r="0" b="0"/>
            <wp:wrapNone/>
            <wp:docPr id="3" name="Image 3" descr="http://www.inrs.fr/.imaging/stk/accueil/catalogueAffiche/dms/inrs/CatalogueAffiche/A-555-a555/document/a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rs.fr/.imaging/stk/accueil/catalogueAffiche/dms/inrs/CatalogueAffiche/A-555-a555/document/a555.jpg"/>
                    <pic:cNvPicPr>
                      <a:picLocks noChangeAspect="1" noChangeArrowheads="1"/>
                    </pic:cNvPicPr>
                  </pic:nvPicPr>
                  <pic:blipFill>
                    <a:blip r:embed="rId8" cstate="print"/>
                    <a:srcRect/>
                    <a:stretch>
                      <a:fillRect/>
                    </a:stretch>
                  </pic:blipFill>
                  <pic:spPr bwMode="auto">
                    <a:xfrm>
                      <a:off x="0" y="0"/>
                      <a:ext cx="2980015" cy="3980576"/>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9264" behindDoc="0" locked="0" layoutInCell="1" allowOverlap="1">
            <wp:simplePos x="0" y="0"/>
            <wp:positionH relativeFrom="column">
              <wp:posOffset>-440323</wp:posOffset>
            </wp:positionH>
            <wp:positionV relativeFrom="paragraph">
              <wp:posOffset>156579</wp:posOffset>
            </wp:positionV>
            <wp:extent cx="2858374" cy="3980576"/>
            <wp:effectExtent l="19050" t="0" r="0" b="0"/>
            <wp:wrapNone/>
            <wp:docPr id="2" name="Image 1" descr="a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597"/>
                    <pic:cNvPicPr>
                      <a:picLocks noChangeAspect="1" noChangeArrowheads="1"/>
                    </pic:cNvPicPr>
                  </pic:nvPicPr>
                  <pic:blipFill>
                    <a:blip r:embed="rId9" cstate="print"/>
                    <a:srcRect/>
                    <a:stretch>
                      <a:fillRect/>
                    </a:stretch>
                  </pic:blipFill>
                  <pic:spPr bwMode="auto">
                    <a:xfrm>
                      <a:off x="0" y="0"/>
                      <a:ext cx="2858374" cy="3980576"/>
                    </a:xfrm>
                    <a:prstGeom prst="rect">
                      <a:avLst/>
                    </a:prstGeom>
                    <a:noFill/>
                    <a:ln w="9525">
                      <a:noFill/>
                      <a:miter lim="800000"/>
                      <a:headEnd/>
                      <a:tailEnd/>
                    </a:ln>
                  </pic:spPr>
                </pic:pic>
              </a:graphicData>
            </a:graphic>
          </wp:anchor>
        </w:drawing>
      </w: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pPr>
    </w:p>
    <w:p w:rsidR="00F408E2" w:rsidRDefault="00F408E2" w:rsidP="00F408E2">
      <w:pPr>
        <w:spacing w:after="0"/>
        <w:jc w:val="both"/>
        <w:rPr>
          <w:szCs w:val="24"/>
        </w:rPr>
      </w:pPr>
    </w:p>
    <w:p w:rsidR="00F408E2" w:rsidRDefault="00F408E2" w:rsidP="00F408E2">
      <w:pPr>
        <w:spacing w:after="0"/>
        <w:jc w:val="both"/>
        <w:rPr>
          <w:szCs w:val="24"/>
        </w:rPr>
      </w:pPr>
    </w:p>
    <w:p w:rsidR="00F408E2" w:rsidRDefault="00F408E2" w:rsidP="00F408E2">
      <w:pPr>
        <w:spacing w:after="0"/>
        <w:jc w:val="both"/>
        <w:rPr>
          <w:szCs w:val="24"/>
        </w:rPr>
      </w:pPr>
    </w:p>
    <w:p w:rsidR="00F408E2" w:rsidRDefault="00F408E2" w:rsidP="00F408E2">
      <w:pPr>
        <w:spacing w:after="0"/>
        <w:jc w:val="both"/>
        <w:rPr>
          <w:szCs w:val="24"/>
        </w:rPr>
      </w:pPr>
    </w:p>
    <w:p w:rsidR="00F408E2" w:rsidRDefault="00F408E2" w:rsidP="00F408E2">
      <w:pPr>
        <w:spacing w:after="0"/>
        <w:jc w:val="both"/>
        <w:rPr>
          <w:szCs w:val="24"/>
        </w:rPr>
      </w:pPr>
    </w:p>
    <w:p w:rsidR="00F408E2" w:rsidRPr="00F408E2" w:rsidRDefault="00F408E2" w:rsidP="00F408E2">
      <w:pPr>
        <w:spacing w:after="0"/>
        <w:ind w:firstLine="360"/>
        <w:jc w:val="both"/>
        <w:rPr>
          <w:b/>
          <w:color w:val="1F497D" w:themeColor="text2"/>
          <w:szCs w:val="24"/>
          <w:u w:val="single"/>
        </w:rPr>
      </w:pPr>
      <w:r w:rsidRPr="00F408E2">
        <w:rPr>
          <w:b/>
          <w:color w:val="1F497D" w:themeColor="text2"/>
          <w:szCs w:val="24"/>
          <w:u w:val="single"/>
        </w:rPr>
        <w:t xml:space="preserve">Pour votre sécurité, merci de veiller : </w:t>
      </w:r>
    </w:p>
    <w:p w:rsidR="00F408E2" w:rsidRPr="00F408E2" w:rsidRDefault="00F408E2" w:rsidP="00F408E2">
      <w:pPr>
        <w:numPr>
          <w:ilvl w:val="0"/>
          <w:numId w:val="13"/>
        </w:numPr>
        <w:spacing w:after="0" w:line="240" w:lineRule="auto"/>
        <w:jc w:val="both"/>
        <w:rPr>
          <w:b/>
          <w:color w:val="1F497D" w:themeColor="text2"/>
          <w:szCs w:val="24"/>
        </w:rPr>
      </w:pPr>
      <w:r w:rsidRPr="00F408E2">
        <w:rPr>
          <w:b/>
          <w:color w:val="1F497D" w:themeColor="text2"/>
          <w:szCs w:val="24"/>
        </w:rPr>
        <w:t xml:space="preserve">à l’accessibilité des moyens de secours (extincteurs, issues, </w:t>
      </w:r>
      <w:r w:rsidR="004E3BB6">
        <w:rPr>
          <w:b/>
          <w:color w:val="1F497D" w:themeColor="text2"/>
          <w:szCs w:val="24"/>
        </w:rPr>
        <w:t>arrêts d’urgence</w:t>
      </w:r>
      <w:r w:rsidRPr="00F408E2">
        <w:rPr>
          <w:b/>
          <w:color w:val="1F497D" w:themeColor="text2"/>
          <w:szCs w:val="24"/>
        </w:rPr>
        <w:t>)</w:t>
      </w:r>
    </w:p>
    <w:p w:rsidR="00F408E2" w:rsidRPr="00F408E2" w:rsidRDefault="00F408E2" w:rsidP="00F408E2">
      <w:pPr>
        <w:numPr>
          <w:ilvl w:val="0"/>
          <w:numId w:val="13"/>
        </w:numPr>
        <w:spacing w:after="0" w:line="240" w:lineRule="auto"/>
        <w:jc w:val="both"/>
        <w:rPr>
          <w:b/>
          <w:color w:val="1F497D" w:themeColor="text2"/>
          <w:szCs w:val="24"/>
        </w:rPr>
      </w:pPr>
      <w:r w:rsidRPr="00F408E2">
        <w:rPr>
          <w:b/>
          <w:color w:val="1F497D" w:themeColor="text2"/>
          <w:szCs w:val="24"/>
        </w:rPr>
        <w:t>au respect du port des EPI</w:t>
      </w:r>
    </w:p>
    <w:p w:rsidR="00F408E2" w:rsidRPr="00F408E2" w:rsidRDefault="00F408E2" w:rsidP="00F408E2">
      <w:pPr>
        <w:numPr>
          <w:ilvl w:val="0"/>
          <w:numId w:val="13"/>
        </w:numPr>
        <w:spacing w:after="0" w:line="240" w:lineRule="auto"/>
        <w:jc w:val="both"/>
        <w:rPr>
          <w:b/>
          <w:color w:val="1F497D" w:themeColor="text2"/>
          <w:szCs w:val="24"/>
        </w:rPr>
      </w:pPr>
      <w:r w:rsidRPr="00F408E2">
        <w:rPr>
          <w:b/>
          <w:color w:val="1F497D" w:themeColor="text2"/>
          <w:szCs w:val="24"/>
        </w:rPr>
        <w:t>à l’organisation et au rangement des halls</w:t>
      </w:r>
    </w:p>
    <w:p w:rsidR="00F408E2" w:rsidRPr="00F408E2" w:rsidRDefault="00F408E2" w:rsidP="00F408E2">
      <w:pPr>
        <w:numPr>
          <w:ilvl w:val="0"/>
          <w:numId w:val="13"/>
        </w:numPr>
        <w:spacing w:after="0" w:line="240" w:lineRule="auto"/>
        <w:jc w:val="both"/>
        <w:rPr>
          <w:b/>
          <w:color w:val="1F497D" w:themeColor="text2"/>
          <w:szCs w:val="24"/>
        </w:rPr>
      </w:pPr>
      <w:r w:rsidRPr="00F408E2">
        <w:rPr>
          <w:b/>
          <w:color w:val="1F497D" w:themeColor="text2"/>
          <w:szCs w:val="24"/>
        </w:rPr>
        <w:t>à ne pas encombrer les circulations</w:t>
      </w:r>
    </w:p>
    <w:p w:rsidR="00F408E2" w:rsidRPr="00F408E2" w:rsidRDefault="00F408E2" w:rsidP="00F408E2">
      <w:pPr>
        <w:numPr>
          <w:ilvl w:val="0"/>
          <w:numId w:val="13"/>
        </w:numPr>
        <w:spacing w:after="0" w:line="240" w:lineRule="auto"/>
        <w:jc w:val="both"/>
        <w:rPr>
          <w:b/>
          <w:color w:val="1F497D" w:themeColor="text2"/>
          <w:szCs w:val="24"/>
        </w:rPr>
      </w:pPr>
      <w:r w:rsidRPr="00F408E2">
        <w:rPr>
          <w:b/>
          <w:color w:val="1F497D" w:themeColor="text2"/>
          <w:szCs w:val="24"/>
        </w:rPr>
        <w:t>à ranger son matériel après utilisation</w:t>
      </w:r>
    </w:p>
    <w:p w:rsidR="00F408E2" w:rsidRPr="00F408E2" w:rsidRDefault="00F408E2" w:rsidP="00F408E2">
      <w:pPr>
        <w:numPr>
          <w:ilvl w:val="0"/>
          <w:numId w:val="13"/>
        </w:numPr>
        <w:spacing w:after="0" w:line="240" w:lineRule="auto"/>
        <w:jc w:val="both"/>
        <w:rPr>
          <w:b/>
          <w:color w:val="1F497D" w:themeColor="text2"/>
          <w:szCs w:val="24"/>
        </w:rPr>
      </w:pPr>
      <w:r w:rsidRPr="00F408E2">
        <w:rPr>
          <w:b/>
          <w:color w:val="1F497D" w:themeColor="text2"/>
          <w:szCs w:val="24"/>
        </w:rPr>
        <w:t>à nettoyer son poste de travail</w:t>
      </w:r>
    </w:p>
    <w:p w:rsidR="00F408E2" w:rsidRPr="00F408E2" w:rsidRDefault="00F408E2" w:rsidP="00F408E2">
      <w:pPr>
        <w:numPr>
          <w:ilvl w:val="0"/>
          <w:numId w:val="13"/>
        </w:numPr>
        <w:spacing w:after="0" w:line="240" w:lineRule="auto"/>
        <w:jc w:val="both"/>
        <w:rPr>
          <w:b/>
          <w:color w:val="1F497D" w:themeColor="text2"/>
          <w:szCs w:val="24"/>
        </w:rPr>
      </w:pPr>
      <w:r w:rsidRPr="00F408E2">
        <w:rPr>
          <w:b/>
          <w:color w:val="1F497D" w:themeColor="text2"/>
          <w:szCs w:val="24"/>
        </w:rPr>
        <w:t>à évacuer ses déchets dans les ba</w:t>
      </w:r>
      <w:r w:rsidR="004E3BB6">
        <w:rPr>
          <w:b/>
          <w:color w:val="1F497D" w:themeColor="text2"/>
          <w:szCs w:val="24"/>
        </w:rPr>
        <w:t>c</w:t>
      </w:r>
      <w:r w:rsidRPr="00F408E2">
        <w:rPr>
          <w:b/>
          <w:color w:val="1F497D" w:themeColor="text2"/>
          <w:szCs w:val="24"/>
        </w:rPr>
        <w:t>s et les bennes prévus à cet effet</w:t>
      </w:r>
    </w:p>
    <w:p w:rsidR="00F408E2" w:rsidRPr="00F408E2" w:rsidRDefault="00F408E2" w:rsidP="00F408E2">
      <w:pPr>
        <w:numPr>
          <w:ilvl w:val="0"/>
          <w:numId w:val="13"/>
        </w:numPr>
        <w:spacing w:after="0" w:line="240" w:lineRule="auto"/>
        <w:jc w:val="both"/>
        <w:rPr>
          <w:b/>
          <w:color w:val="1F497D" w:themeColor="text2"/>
          <w:szCs w:val="24"/>
        </w:rPr>
      </w:pPr>
      <w:r w:rsidRPr="00F408E2">
        <w:rPr>
          <w:b/>
          <w:color w:val="1F497D" w:themeColor="text2"/>
          <w:szCs w:val="24"/>
        </w:rPr>
        <w:t>au balisage et à l’information des expériences en cours et des objets dangereux stockés</w:t>
      </w:r>
    </w:p>
    <w:p w:rsidR="00F408E2" w:rsidRDefault="00F408E2" w:rsidP="00F408E2">
      <w:pPr>
        <w:spacing w:after="0"/>
        <w:jc w:val="both"/>
        <w:rPr>
          <w:szCs w:val="24"/>
        </w:rPr>
      </w:pPr>
    </w:p>
    <w:p w:rsidR="00974D89" w:rsidRPr="00974D89" w:rsidRDefault="00974D89" w:rsidP="00F408E2">
      <w:pPr>
        <w:spacing w:after="0" w:line="240" w:lineRule="auto"/>
        <w:jc w:val="both"/>
        <w:rPr>
          <w:rFonts w:ascii="Arial Narrow" w:hAnsi="Arial Narrow"/>
        </w:rPr>
      </w:pPr>
    </w:p>
    <w:sectPr w:rsidR="00974D89" w:rsidRPr="00974D89" w:rsidSect="00E879A8">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8E2" w:rsidRDefault="00F408E2" w:rsidP="008B5CDA">
      <w:pPr>
        <w:spacing w:after="0" w:line="240" w:lineRule="auto"/>
      </w:pPr>
      <w:r>
        <w:separator/>
      </w:r>
    </w:p>
  </w:endnote>
  <w:endnote w:type="continuationSeparator" w:id="0">
    <w:p w:rsidR="00F408E2" w:rsidRDefault="00F408E2" w:rsidP="008B5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Univers-Condense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8E2" w:rsidRDefault="00F408E2" w:rsidP="008B5CDA">
      <w:pPr>
        <w:spacing w:after="0" w:line="240" w:lineRule="auto"/>
      </w:pPr>
      <w:r>
        <w:separator/>
      </w:r>
    </w:p>
  </w:footnote>
  <w:footnote w:type="continuationSeparator" w:id="0">
    <w:p w:rsidR="00F408E2" w:rsidRDefault="00F408E2" w:rsidP="008B5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Look w:val="01E0"/>
    </w:tblPr>
    <w:tblGrid>
      <w:gridCol w:w="2641"/>
      <w:gridCol w:w="2559"/>
      <w:gridCol w:w="3077"/>
      <w:gridCol w:w="1011"/>
    </w:tblGrid>
    <w:tr w:rsidR="00F408E2" w:rsidTr="00427CDC">
      <w:trPr>
        <w:trHeight w:val="423"/>
      </w:trPr>
      <w:tc>
        <w:tcPr>
          <w:tcW w:w="2660" w:type="dxa"/>
          <w:vMerge w:val="restart"/>
          <w:vAlign w:val="center"/>
        </w:tcPr>
        <w:p w:rsidR="00F408E2" w:rsidRDefault="00F408E2" w:rsidP="00427CDC">
          <w:pPr>
            <w:pStyle w:val="En-tte"/>
            <w:ind w:firstLine="142"/>
            <w:jc w:val="left"/>
          </w:pPr>
          <w:r>
            <w:rPr>
              <w:noProof/>
            </w:rPr>
            <w:drawing>
              <wp:inline distT="0" distB="0" distL="0" distR="0">
                <wp:extent cx="1391285" cy="538480"/>
                <wp:effectExtent l="19050" t="0" r="0" b="0"/>
                <wp:docPr id="1" name="Image 1" descr="lettr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re haut"/>
                        <pic:cNvPicPr>
                          <a:picLocks noChangeAspect="1" noChangeArrowheads="1"/>
                        </pic:cNvPicPr>
                      </pic:nvPicPr>
                      <pic:blipFill>
                        <a:blip r:embed="rId1"/>
                        <a:srcRect/>
                        <a:stretch>
                          <a:fillRect/>
                        </a:stretch>
                      </pic:blipFill>
                      <pic:spPr bwMode="auto">
                        <a:xfrm>
                          <a:off x="0" y="0"/>
                          <a:ext cx="1391285" cy="538480"/>
                        </a:xfrm>
                        <a:prstGeom prst="rect">
                          <a:avLst/>
                        </a:prstGeom>
                        <a:noFill/>
                        <a:ln w="9525">
                          <a:noFill/>
                          <a:miter lim="800000"/>
                          <a:headEnd/>
                          <a:tailEnd/>
                        </a:ln>
                      </pic:spPr>
                    </pic:pic>
                  </a:graphicData>
                </a:graphic>
              </wp:inline>
            </w:drawing>
          </w:r>
        </w:p>
      </w:tc>
      <w:tc>
        <w:tcPr>
          <w:tcW w:w="7052" w:type="dxa"/>
          <w:gridSpan w:val="3"/>
          <w:shd w:val="clear" w:color="auto" w:fill="auto"/>
          <w:vAlign w:val="center"/>
        </w:tcPr>
        <w:p w:rsidR="00F408E2" w:rsidRDefault="00F408E2" w:rsidP="00427CDC">
          <w:pPr>
            <w:pStyle w:val="En-tte"/>
            <w:spacing w:before="0"/>
            <w:ind w:firstLine="0"/>
            <w:jc w:val="center"/>
            <w:rPr>
              <w:rFonts w:ascii="Arial Rounded MT Bold" w:hAnsi="Arial Rounded MT Bold"/>
              <w:sz w:val="24"/>
              <w:szCs w:val="24"/>
            </w:rPr>
          </w:pPr>
          <w:r>
            <w:rPr>
              <w:rFonts w:ascii="Arial Rounded MT Bold" w:hAnsi="Arial Rounded MT Bold"/>
              <w:sz w:val="24"/>
              <w:szCs w:val="24"/>
            </w:rPr>
            <w:t>Note d’information</w:t>
          </w:r>
        </w:p>
      </w:tc>
    </w:tr>
    <w:tr w:rsidR="00F408E2" w:rsidTr="00427CDC">
      <w:trPr>
        <w:trHeight w:val="431"/>
      </w:trPr>
      <w:tc>
        <w:tcPr>
          <w:tcW w:w="2660" w:type="dxa"/>
          <w:vMerge/>
          <w:vAlign w:val="center"/>
        </w:tcPr>
        <w:p w:rsidR="00F408E2" w:rsidRDefault="00F408E2" w:rsidP="00427CDC">
          <w:pPr>
            <w:pStyle w:val="En-tte"/>
            <w:spacing w:before="0"/>
            <w:ind w:firstLine="0"/>
            <w:jc w:val="left"/>
          </w:pPr>
        </w:p>
      </w:tc>
      <w:tc>
        <w:tcPr>
          <w:tcW w:w="7052" w:type="dxa"/>
          <w:gridSpan w:val="3"/>
          <w:shd w:val="clear" w:color="auto" w:fill="auto"/>
          <w:vAlign w:val="center"/>
        </w:tcPr>
        <w:p w:rsidR="00F408E2" w:rsidRPr="00981325" w:rsidRDefault="00F408E2" w:rsidP="00427CDC">
          <w:pPr>
            <w:pStyle w:val="En-tte"/>
            <w:spacing w:before="0"/>
            <w:ind w:firstLine="0"/>
            <w:jc w:val="center"/>
            <w:rPr>
              <w:rFonts w:ascii="Arial Rounded MT Bold" w:hAnsi="Arial Rounded MT Bold"/>
              <w:sz w:val="24"/>
              <w:szCs w:val="24"/>
            </w:rPr>
          </w:pPr>
          <w:r>
            <w:rPr>
              <w:rFonts w:ascii="Arial Rounded MT Bold" w:hAnsi="Arial Rounded MT Bold"/>
              <w:sz w:val="24"/>
              <w:szCs w:val="24"/>
            </w:rPr>
            <w:t>CIMAP - QSE</w:t>
          </w:r>
        </w:p>
      </w:tc>
    </w:tr>
    <w:tr w:rsidR="00F408E2" w:rsidRPr="00DC2CDC" w:rsidTr="00427CDC">
      <w:trPr>
        <w:trHeight w:val="400"/>
      </w:trPr>
      <w:tc>
        <w:tcPr>
          <w:tcW w:w="2660" w:type="dxa"/>
          <w:vAlign w:val="center"/>
        </w:tcPr>
        <w:p w:rsidR="00F408E2" w:rsidRPr="00DC2CDC" w:rsidRDefault="00F408E2" w:rsidP="00427CDC">
          <w:pPr>
            <w:pStyle w:val="En-tte"/>
            <w:spacing w:before="0"/>
            <w:ind w:firstLine="0"/>
            <w:jc w:val="left"/>
            <w:rPr>
              <w:sz w:val="18"/>
              <w:szCs w:val="18"/>
            </w:rPr>
          </w:pPr>
          <w:r>
            <w:rPr>
              <w:sz w:val="18"/>
              <w:szCs w:val="18"/>
            </w:rPr>
            <w:t>émetteur : Q. Legrand</w:t>
          </w:r>
        </w:p>
      </w:tc>
      <w:tc>
        <w:tcPr>
          <w:tcW w:w="2697" w:type="dxa"/>
          <w:shd w:val="clear" w:color="auto" w:fill="auto"/>
          <w:vAlign w:val="center"/>
        </w:tcPr>
        <w:p w:rsidR="00F408E2" w:rsidRDefault="00F408E2" w:rsidP="00427CDC">
          <w:pPr>
            <w:pStyle w:val="En-tte"/>
            <w:spacing w:before="0"/>
            <w:ind w:firstLine="0"/>
            <w:jc w:val="left"/>
            <w:rPr>
              <w:smallCaps/>
              <w:sz w:val="18"/>
              <w:szCs w:val="18"/>
            </w:rPr>
          </w:pPr>
          <w:r>
            <w:rPr>
              <w:smallCaps/>
              <w:sz w:val="18"/>
              <w:szCs w:val="18"/>
            </w:rPr>
            <w:t>date :</w:t>
          </w:r>
          <w:r w:rsidR="004E3BB6">
            <w:rPr>
              <w:smallCaps/>
              <w:sz w:val="18"/>
              <w:szCs w:val="18"/>
            </w:rPr>
            <w:t xml:space="preserve"> 08/01/2014</w:t>
          </w:r>
        </w:p>
        <w:p w:rsidR="00F408E2" w:rsidRPr="00DC2CDC" w:rsidRDefault="00F408E2" w:rsidP="00427CDC">
          <w:pPr>
            <w:pStyle w:val="En-tte"/>
            <w:spacing w:before="0"/>
            <w:ind w:firstLine="0"/>
            <w:jc w:val="left"/>
            <w:rPr>
              <w:smallCaps/>
              <w:sz w:val="18"/>
              <w:szCs w:val="18"/>
            </w:rPr>
          </w:pPr>
          <w:r>
            <w:rPr>
              <w:smallCaps/>
              <w:sz w:val="18"/>
              <w:szCs w:val="18"/>
            </w:rPr>
            <w:t>Version : 1.0</w:t>
          </w:r>
        </w:p>
      </w:tc>
      <w:tc>
        <w:tcPr>
          <w:tcW w:w="3305" w:type="dxa"/>
          <w:shd w:val="clear" w:color="auto" w:fill="auto"/>
          <w:vAlign w:val="center"/>
        </w:tcPr>
        <w:p w:rsidR="00F408E2" w:rsidRDefault="00F408E2" w:rsidP="008B5CDA">
          <w:pPr>
            <w:pStyle w:val="En-tte"/>
            <w:spacing w:before="0"/>
            <w:ind w:firstLine="0"/>
            <w:jc w:val="left"/>
            <w:rPr>
              <w:sz w:val="18"/>
              <w:szCs w:val="18"/>
            </w:rPr>
          </w:pPr>
          <w:proofErr w:type="spellStart"/>
          <w:r w:rsidRPr="00DC2CDC">
            <w:rPr>
              <w:smallCaps/>
              <w:sz w:val="18"/>
              <w:szCs w:val="18"/>
            </w:rPr>
            <w:t>ref</w:t>
          </w:r>
          <w:proofErr w:type="spellEnd"/>
          <w:r w:rsidRPr="00DC2CDC">
            <w:rPr>
              <w:smallCaps/>
              <w:sz w:val="18"/>
              <w:szCs w:val="18"/>
            </w:rPr>
            <w:t> </w:t>
          </w:r>
          <w:r w:rsidR="004E3BB6">
            <w:rPr>
              <w:sz w:val="18"/>
              <w:szCs w:val="18"/>
            </w:rPr>
            <w:t>: N-14-01</w:t>
          </w:r>
        </w:p>
      </w:tc>
      <w:tc>
        <w:tcPr>
          <w:tcW w:w="1050" w:type="dxa"/>
          <w:shd w:val="clear" w:color="auto" w:fill="auto"/>
          <w:vAlign w:val="center"/>
        </w:tcPr>
        <w:p w:rsidR="00F408E2" w:rsidRPr="00DC2CDC" w:rsidRDefault="00F408E2" w:rsidP="00427CDC">
          <w:pPr>
            <w:pStyle w:val="En-tte"/>
            <w:spacing w:before="0"/>
            <w:ind w:firstLine="0"/>
            <w:jc w:val="left"/>
            <w:rPr>
              <w:smallCaps/>
              <w:sz w:val="18"/>
              <w:szCs w:val="18"/>
            </w:rPr>
          </w:pPr>
          <w:r w:rsidRPr="00DC2CDC">
            <w:rPr>
              <w:smallCaps/>
              <w:sz w:val="18"/>
              <w:szCs w:val="18"/>
            </w:rPr>
            <w:t>page</w:t>
          </w:r>
          <w:r w:rsidRPr="00DC2CDC">
            <w:rPr>
              <w:sz w:val="18"/>
              <w:szCs w:val="18"/>
            </w:rPr>
            <w:t xml:space="preserve"> </w:t>
          </w:r>
          <w:r w:rsidR="00AF1516" w:rsidRPr="00DC2CDC">
            <w:rPr>
              <w:rStyle w:val="Numrodepage"/>
              <w:sz w:val="18"/>
              <w:szCs w:val="18"/>
            </w:rPr>
            <w:fldChar w:fldCharType="begin"/>
          </w:r>
          <w:r w:rsidRPr="00DC2CDC">
            <w:rPr>
              <w:rStyle w:val="Numrodepage"/>
              <w:sz w:val="18"/>
              <w:szCs w:val="18"/>
            </w:rPr>
            <w:instrText xml:space="preserve"> PAGE </w:instrText>
          </w:r>
          <w:r w:rsidR="00AF1516" w:rsidRPr="00DC2CDC">
            <w:rPr>
              <w:rStyle w:val="Numrodepage"/>
              <w:sz w:val="18"/>
              <w:szCs w:val="18"/>
            </w:rPr>
            <w:fldChar w:fldCharType="separate"/>
          </w:r>
          <w:r w:rsidR="000058BC">
            <w:rPr>
              <w:rStyle w:val="Numrodepage"/>
              <w:noProof/>
              <w:sz w:val="18"/>
              <w:szCs w:val="18"/>
            </w:rPr>
            <w:t>2</w:t>
          </w:r>
          <w:r w:rsidR="00AF1516" w:rsidRPr="00DC2CDC">
            <w:rPr>
              <w:rStyle w:val="Numrodepage"/>
              <w:sz w:val="18"/>
              <w:szCs w:val="18"/>
            </w:rPr>
            <w:fldChar w:fldCharType="end"/>
          </w:r>
          <w:r w:rsidRPr="00DC2CDC">
            <w:rPr>
              <w:rStyle w:val="Numrodepage"/>
              <w:sz w:val="18"/>
              <w:szCs w:val="18"/>
            </w:rPr>
            <w:t>/</w:t>
          </w:r>
          <w:r w:rsidR="00AF1516" w:rsidRPr="00DC2CDC">
            <w:rPr>
              <w:rStyle w:val="Numrodepage"/>
              <w:sz w:val="18"/>
              <w:szCs w:val="18"/>
            </w:rPr>
            <w:fldChar w:fldCharType="begin"/>
          </w:r>
          <w:r w:rsidRPr="00DC2CDC">
            <w:rPr>
              <w:rStyle w:val="Numrodepage"/>
              <w:sz w:val="18"/>
              <w:szCs w:val="18"/>
            </w:rPr>
            <w:instrText xml:space="preserve"> NUMPAGES </w:instrText>
          </w:r>
          <w:r w:rsidR="00AF1516" w:rsidRPr="00DC2CDC">
            <w:rPr>
              <w:rStyle w:val="Numrodepage"/>
              <w:sz w:val="18"/>
              <w:szCs w:val="18"/>
            </w:rPr>
            <w:fldChar w:fldCharType="separate"/>
          </w:r>
          <w:r w:rsidR="000058BC">
            <w:rPr>
              <w:rStyle w:val="Numrodepage"/>
              <w:noProof/>
              <w:sz w:val="18"/>
              <w:szCs w:val="18"/>
            </w:rPr>
            <w:t>2</w:t>
          </w:r>
          <w:r w:rsidR="00AF1516" w:rsidRPr="00DC2CDC">
            <w:rPr>
              <w:rStyle w:val="Numrodepage"/>
              <w:sz w:val="18"/>
              <w:szCs w:val="18"/>
            </w:rPr>
            <w:fldChar w:fldCharType="end"/>
          </w:r>
        </w:p>
      </w:tc>
    </w:tr>
  </w:tbl>
  <w:p w:rsidR="00F408E2" w:rsidRDefault="00F408E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FA1"/>
    <w:multiLevelType w:val="hybridMultilevel"/>
    <w:tmpl w:val="21E26108"/>
    <w:lvl w:ilvl="0" w:tplc="4046101C">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85541C"/>
    <w:multiLevelType w:val="hybridMultilevel"/>
    <w:tmpl w:val="B9127D7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3E91FAB"/>
    <w:multiLevelType w:val="multilevel"/>
    <w:tmpl w:val="17D2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E4A24"/>
    <w:multiLevelType w:val="hybridMultilevel"/>
    <w:tmpl w:val="148A5140"/>
    <w:lvl w:ilvl="0" w:tplc="65F285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936D5A"/>
    <w:multiLevelType w:val="hybridMultilevel"/>
    <w:tmpl w:val="62BE8006"/>
    <w:lvl w:ilvl="0" w:tplc="325E9908">
      <w:start w:val="14"/>
      <w:numFmt w:val="bullet"/>
      <w:lvlText w:val="-"/>
      <w:lvlJc w:val="left"/>
      <w:pPr>
        <w:tabs>
          <w:tab w:val="num" w:pos="720"/>
        </w:tabs>
        <w:ind w:left="720" w:hanging="360"/>
      </w:pPr>
      <w:rPr>
        <w:rFonts w:ascii="Times New Roman" w:eastAsia="Times" w:hAnsi="Times New Roman" w:cs="Times New Roman" w:hint="default"/>
        <w:color w:val="auto"/>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B990BDA"/>
    <w:multiLevelType w:val="multilevel"/>
    <w:tmpl w:val="BB7E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247D2F"/>
    <w:multiLevelType w:val="multilevel"/>
    <w:tmpl w:val="6F6A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56C4D"/>
    <w:multiLevelType w:val="multilevel"/>
    <w:tmpl w:val="2E22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E47B50"/>
    <w:multiLevelType w:val="hybridMultilevel"/>
    <w:tmpl w:val="F3F0ED34"/>
    <w:lvl w:ilvl="0" w:tplc="4046101C">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C75A9D"/>
    <w:multiLevelType w:val="hybridMultilevel"/>
    <w:tmpl w:val="F46689D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CE42FC7"/>
    <w:multiLevelType w:val="hybridMultilevel"/>
    <w:tmpl w:val="11DA53DA"/>
    <w:lvl w:ilvl="0" w:tplc="C9DA55A6">
      <w:start w:val="4"/>
      <w:numFmt w:val="bullet"/>
      <w:lvlText w:val="-"/>
      <w:lvlJc w:val="left"/>
      <w:pPr>
        <w:ind w:left="720" w:hanging="360"/>
      </w:pPr>
      <w:rPr>
        <w:rFonts w:ascii="Univers-Condensed" w:eastAsiaTheme="minorHAnsi" w:hAnsi="Univers-Condensed" w:cs="Univers-Condens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AA6D67"/>
    <w:multiLevelType w:val="hybridMultilevel"/>
    <w:tmpl w:val="94B676D4"/>
    <w:lvl w:ilvl="0" w:tplc="4D10E2A0">
      <w:start w:val="3"/>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A526E7"/>
    <w:multiLevelType w:val="hybridMultilevel"/>
    <w:tmpl w:val="A5F06C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5"/>
  </w:num>
  <w:num w:numId="5">
    <w:abstractNumId w:val="2"/>
  </w:num>
  <w:num w:numId="6">
    <w:abstractNumId w:val="6"/>
  </w:num>
  <w:num w:numId="7">
    <w:abstractNumId w:val="12"/>
  </w:num>
  <w:num w:numId="8">
    <w:abstractNumId w:val="11"/>
  </w:num>
  <w:num w:numId="9">
    <w:abstractNumId w:val="7"/>
  </w:num>
  <w:num w:numId="10">
    <w:abstractNumId w:val="10"/>
  </w:num>
  <w:num w:numId="11">
    <w:abstractNumId w:val="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footnotePr>
    <w:footnote w:id="-1"/>
    <w:footnote w:id="0"/>
  </w:footnotePr>
  <w:endnotePr>
    <w:endnote w:id="-1"/>
    <w:endnote w:id="0"/>
  </w:endnotePr>
  <w:compat/>
  <w:rsids>
    <w:rsidRoot w:val="008B5CDA"/>
    <w:rsid w:val="000058BC"/>
    <w:rsid w:val="00012B09"/>
    <w:rsid w:val="000911E3"/>
    <w:rsid w:val="000C495A"/>
    <w:rsid w:val="000E5A93"/>
    <w:rsid w:val="00117018"/>
    <w:rsid w:val="001366DB"/>
    <w:rsid w:val="00172CBF"/>
    <w:rsid w:val="001860FB"/>
    <w:rsid w:val="001B7B2B"/>
    <w:rsid w:val="00216E29"/>
    <w:rsid w:val="002514C4"/>
    <w:rsid w:val="002838E5"/>
    <w:rsid w:val="00285CD5"/>
    <w:rsid w:val="002A4314"/>
    <w:rsid w:val="002B69C1"/>
    <w:rsid w:val="002C7233"/>
    <w:rsid w:val="00304829"/>
    <w:rsid w:val="003A4AC9"/>
    <w:rsid w:val="003B0FAF"/>
    <w:rsid w:val="00400BAB"/>
    <w:rsid w:val="00400BC0"/>
    <w:rsid w:val="00402315"/>
    <w:rsid w:val="00425805"/>
    <w:rsid w:val="00427CDC"/>
    <w:rsid w:val="0043272E"/>
    <w:rsid w:val="00446A86"/>
    <w:rsid w:val="00491D2E"/>
    <w:rsid w:val="00495C84"/>
    <w:rsid w:val="004C74ED"/>
    <w:rsid w:val="004D0970"/>
    <w:rsid w:val="004E3BB6"/>
    <w:rsid w:val="004E6A29"/>
    <w:rsid w:val="004F447C"/>
    <w:rsid w:val="00503A2F"/>
    <w:rsid w:val="005276AC"/>
    <w:rsid w:val="00533E22"/>
    <w:rsid w:val="00536D1D"/>
    <w:rsid w:val="005C1A30"/>
    <w:rsid w:val="005C52B7"/>
    <w:rsid w:val="005D20C9"/>
    <w:rsid w:val="005F510D"/>
    <w:rsid w:val="00625883"/>
    <w:rsid w:val="006C0629"/>
    <w:rsid w:val="006C77B3"/>
    <w:rsid w:val="006D270B"/>
    <w:rsid w:val="00714E15"/>
    <w:rsid w:val="00716C3D"/>
    <w:rsid w:val="00721C14"/>
    <w:rsid w:val="00725DC9"/>
    <w:rsid w:val="00726E93"/>
    <w:rsid w:val="00762B3B"/>
    <w:rsid w:val="007B3BD7"/>
    <w:rsid w:val="007E7F21"/>
    <w:rsid w:val="007F0A5E"/>
    <w:rsid w:val="007F5626"/>
    <w:rsid w:val="00811271"/>
    <w:rsid w:val="0083742D"/>
    <w:rsid w:val="00844573"/>
    <w:rsid w:val="00863191"/>
    <w:rsid w:val="008673D3"/>
    <w:rsid w:val="008724A1"/>
    <w:rsid w:val="00882C57"/>
    <w:rsid w:val="008A20E3"/>
    <w:rsid w:val="008B5CDA"/>
    <w:rsid w:val="008E726C"/>
    <w:rsid w:val="00941541"/>
    <w:rsid w:val="00944445"/>
    <w:rsid w:val="009602BC"/>
    <w:rsid w:val="00974D89"/>
    <w:rsid w:val="009909CE"/>
    <w:rsid w:val="009964F2"/>
    <w:rsid w:val="009A3720"/>
    <w:rsid w:val="009B210F"/>
    <w:rsid w:val="009B31AB"/>
    <w:rsid w:val="009C095D"/>
    <w:rsid w:val="009C285D"/>
    <w:rsid w:val="009E6846"/>
    <w:rsid w:val="00A34764"/>
    <w:rsid w:val="00A81D14"/>
    <w:rsid w:val="00AB5A9E"/>
    <w:rsid w:val="00AF1516"/>
    <w:rsid w:val="00B55D2C"/>
    <w:rsid w:val="00B8708A"/>
    <w:rsid w:val="00BB1021"/>
    <w:rsid w:val="00BD5579"/>
    <w:rsid w:val="00BD5D2B"/>
    <w:rsid w:val="00C01323"/>
    <w:rsid w:val="00C2726A"/>
    <w:rsid w:val="00C33E1A"/>
    <w:rsid w:val="00C62844"/>
    <w:rsid w:val="00C8562A"/>
    <w:rsid w:val="00C903D4"/>
    <w:rsid w:val="00CA1105"/>
    <w:rsid w:val="00CB1A22"/>
    <w:rsid w:val="00CC27A6"/>
    <w:rsid w:val="00CC47B4"/>
    <w:rsid w:val="00CE19DF"/>
    <w:rsid w:val="00CF60EC"/>
    <w:rsid w:val="00CF6802"/>
    <w:rsid w:val="00D300E8"/>
    <w:rsid w:val="00D6503D"/>
    <w:rsid w:val="00D963E2"/>
    <w:rsid w:val="00D9640D"/>
    <w:rsid w:val="00DB0BF0"/>
    <w:rsid w:val="00DC6EA0"/>
    <w:rsid w:val="00DF7636"/>
    <w:rsid w:val="00E56059"/>
    <w:rsid w:val="00E74C24"/>
    <w:rsid w:val="00E857E9"/>
    <w:rsid w:val="00E864BF"/>
    <w:rsid w:val="00E879A8"/>
    <w:rsid w:val="00E91AB8"/>
    <w:rsid w:val="00F24A3C"/>
    <w:rsid w:val="00F408E2"/>
    <w:rsid w:val="00F55A1E"/>
    <w:rsid w:val="00F644D4"/>
    <w:rsid w:val="00FA11BD"/>
    <w:rsid w:val="00FA7282"/>
    <w:rsid w:val="00FB1309"/>
    <w:rsid w:val="00FE76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9A8"/>
  </w:style>
  <w:style w:type="paragraph" w:styleId="Titre3">
    <w:name w:val="heading 3"/>
    <w:basedOn w:val="Normal"/>
    <w:link w:val="Titre3Car"/>
    <w:uiPriority w:val="9"/>
    <w:qFormat/>
    <w:rsid w:val="001366D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B5CD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B5CDA"/>
  </w:style>
  <w:style w:type="paragraph" w:styleId="Pieddepage">
    <w:name w:val="footer"/>
    <w:basedOn w:val="Normal"/>
    <w:link w:val="PieddepageCar"/>
    <w:uiPriority w:val="99"/>
    <w:semiHidden/>
    <w:unhideWhenUsed/>
    <w:rsid w:val="008B5CD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B5CDA"/>
  </w:style>
  <w:style w:type="table" w:styleId="Grilledutableau">
    <w:name w:val="Table Grid"/>
    <w:basedOn w:val="TableauNormal"/>
    <w:rsid w:val="008B5CDA"/>
    <w:pPr>
      <w:spacing w:before="120" w:after="0" w:line="280" w:lineRule="atLeast"/>
      <w:ind w:firstLine="340"/>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8B5CDA"/>
  </w:style>
  <w:style w:type="paragraph" w:customStyle="1" w:styleId="Default">
    <w:name w:val="Default"/>
    <w:rsid w:val="00721C14"/>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0911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11E3"/>
    <w:rPr>
      <w:rFonts w:ascii="Tahoma" w:hAnsi="Tahoma" w:cs="Tahoma"/>
      <w:sz w:val="16"/>
      <w:szCs w:val="16"/>
    </w:rPr>
  </w:style>
  <w:style w:type="character" w:styleId="lev">
    <w:name w:val="Strong"/>
    <w:basedOn w:val="Policepardfaut"/>
    <w:uiPriority w:val="22"/>
    <w:qFormat/>
    <w:rsid w:val="00844573"/>
    <w:rPr>
      <w:b/>
      <w:bCs/>
    </w:rPr>
  </w:style>
  <w:style w:type="paragraph" w:styleId="Paragraphedeliste">
    <w:name w:val="List Paragraph"/>
    <w:basedOn w:val="Normal"/>
    <w:uiPriority w:val="34"/>
    <w:qFormat/>
    <w:rsid w:val="00FB1309"/>
    <w:pPr>
      <w:ind w:left="720"/>
      <w:contextualSpacing/>
    </w:pPr>
  </w:style>
  <w:style w:type="paragraph" w:customStyle="1" w:styleId="titreliste">
    <w:name w:val="titre_liste"/>
    <w:basedOn w:val="Normal"/>
    <w:rsid w:val="001366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1366D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366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366DB"/>
    <w:rPr>
      <w:color w:val="0000FF"/>
      <w:u w:val="single"/>
    </w:rPr>
  </w:style>
  <w:style w:type="character" w:customStyle="1" w:styleId="definition">
    <w:name w:val="definition"/>
    <w:basedOn w:val="Policepardfaut"/>
    <w:rsid w:val="001366DB"/>
  </w:style>
</w:styles>
</file>

<file path=word/webSettings.xml><?xml version="1.0" encoding="utf-8"?>
<w:webSettings xmlns:r="http://schemas.openxmlformats.org/officeDocument/2006/relationships" xmlns:w="http://schemas.openxmlformats.org/wordprocessingml/2006/main">
  <w:divs>
    <w:div w:id="607588988">
      <w:bodyDiv w:val="1"/>
      <w:marLeft w:val="0"/>
      <w:marRight w:val="0"/>
      <w:marTop w:val="0"/>
      <w:marBottom w:val="0"/>
      <w:divBdr>
        <w:top w:val="none" w:sz="0" w:space="0" w:color="auto"/>
        <w:left w:val="none" w:sz="0" w:space="0" w:color="auto"/>
        <w:bottom w:val="none" w:sz="0" w:space="0" w:color="auto"/>
        <w:right w:val="none" w:sz="0" w:space="0" w:color="auto"/>
      </w:divBdr>
      <w:divsChild>
        <w:div w:id="295722795">
          <w:marLeft w:val="0"/>
          <w:marRight w:val="0"/>
          <w:marTop w:val="0"/>
          <w:marBottom w:val="0"/>
          <w:divBdr>
            <w:top w:val="none" w:sz="0" w:space="0" w:color="auto"/>
            <w:left w:val="none" w:sz="0" w:space="0" w:color="auto"/>
            <w:bottom w:val="none" w:sz="0" w:space="0" w:color="auto"/>
            <w:right w:val="none" w:sz="0" w:space="0" w:color="auto"/>
          </w:divBdr>
        </w:div>
      </w:divsChild>
    </w:div>
    <w:div w:id="839348777">
      <w:bodyDiv w:val="1"/>
      <w:marLeft w:val="0"/>
      <w:marRight w:val="0"/>
      <w:marTop w:val="0"/>
      <w:marBottom w:val="0"/>
      <w:divBdr>
        <w:top w:val="none" w:sz="0" w:space="0" w:color="auto"/>
        <w:left w:val="none" w:sz="0" w:space="0" w:color="auto"/>
        <w:bottom w:val="none" w:sz="0" w:space="0" w:color="auto"/>
        <w:right w:val="none" w:sz="0" w:space="0" w:color="auto"/>
      </w:divBdr>
      <w:divsChild>
        <w:div w:id="501549878">
          <w:marLeft w:val="0"/>
          <w:marRight w:val="0"/>
          <w:marTop w:val="0"/>
          <w:marBottom w:val="0"/>
          <w:divBdr>
            <w:top w:val="none" w:sz="0" w:space="0" w:color="auto"/>
            <w:left w:val="none" w:sz="0" w:space="0" w:color="auto"/>
            <w:bottom w:val="none" w:sz="0" w:space="0" w:color="auto"/>
            <w:right w:val="none" w:sz="0" w:space="0" w:color="auto"/>
          </w:divBdr>
        </w:div>
      </w:divsChild>
    </w:div>
    <w:div w:id="1252811940">
      <w:bodyDiv w:val="1"/>
      <w:marLeft w:val="0"/>
      <w:marRight w:val="0"/>
      <w:marTop w:val="0"/>
      <w:marBottom w:val="0"/>
      <w:divBdr>
        <w:top w:val="none" w:sz="0" w:space="0" w:color="auto"/>
        <w:left w:val="none" w:sz="0" w:space="0" w:color="auto"/>
        <w:bottom w:val="none" w:sz="0" w:space="0" w:color="auto"/>
        <w:right w:val="none" w:sz="0" w:space="0" w:color="auto"/>
      </w:divBdr>
    </w:div>
    <w:div w:id="178102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5E1DA-893B-4A16-81F1-04C4CA4E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2649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dc:creator>
  <cp:lastModifiedBy>legrand</cp:lastModifiedBy>
  <cp:revision>3</cp:revision>
  <cp:lastPrinted>2014-01-29T10:01:00Z</cp:lastPrinted>
  <dcterms:created xsi:type="dcterms:W3CDTF">2014-01-29T10:01:00Z</dcterms:created>
  <dcterms:modified xsi:type="dcterms:W3CDTF">2014-01-29T10:05:00Z</dcterms:modified>
</cp:coreProperties>
</file>