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8E2" w:rsidRDefault="00E26AB8" w:rsidP="00F408E2">
      <w:pPr>
        <w:tabs>
          <w:tab w:val="left" w:pos="6096"/>
        </w:tabs>
        <w:spacing w:after="0"/>
        <w:rPr>
          <w:b/>
          <w:szCs w:val="24"/>
        </w:rPr>
      </w:pPr>
      <w:r>
        <w:rPr>
          <w:b/>
          <w:noProof/>
          <w:szCs w:val="24"/>
          <w:lang w:eastAsia="fr-FR"/>
        </w:rPr>
        <w:drawing>
          <wp:anchor distT="0" distB="0" distL="114300" distR="114300" simplePos="0" relativeHeight="251659264" behindDoc="0" locked="0" layoutInCell="1" allowOverlap="1">
            <wp:simplePos x="0" y="0"/>
            <wp:positionH relativeFrom="column">
              <wp:posOffset>4735195</wp:posOffset>
            </wp:positionH>
            <wp:positionV relativeFrom="paragraph">
              <wp:posOffset>-36830</wp:posOffset>
            </wp:positionV>
            <wp:extent cx="572135" cy="565785"/>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2135" cy="565785"/>
                    </a:xfrm>
                    <a:prstGeom prst="rect">
                      <a:avLst/>
                    </a:prstGeom>
                    <a:noFill/>
                    <a:ln w="9525">
                      <a:noFill/>
                      <a:miter lim="800000"/>
                      <a:headEnd/>
                      <a:tailEnd/>
                    </a:ln>
                  </pic:spPr>
                </pic:pic>
              </a:graphicData>
            </a:graphic>
          </wp:anchor>
        </w:drawing>
      </w:r>
      <w:r w:rsidR="00F408E2">
        <w:rPr>
          <w:b/>
          <w:szCs w:val="24"/>
        </w:rPr>
        <w:t>Note à l’attention de l’ensemble du personnel du CIMAP :</w:t>
      </w:r>
    </w:p>
    <w:p w:rsidR="00F408E2" w:rsidRDefault="00F408E2" w:rsidP="00F408E2">
      <w:pPr>
        <w:spacing w:after="0"/>
        <w:jc w:val="both"/>
        <w:rPr>
          <w:szCs w:val="24"/>
        </w:rPr>
      </w:pPr>
    </w:p>
    <w:p w:rsidR="00F408E2" w:rsidRPr="004E3BB6" w:rsidRDefault="00F408E2" w:rsidP="00F408E2">
      <w:pPr>
        <w:spacing w:after="0"/>
        <w:jc w:val="both"/>
        <w:rPr>
          <w:b/>
          <w:color w:val="1F497D" w:themeColor="text2"/>
          <w:szCs w:val="24"/>
        </w:rPr>
      </w:pPr>
      <w:r w:rsidRPr="004E3BB6">
        <w:rPr>
          <w:b/>
          <w:color w:val="1F497D" w:themeColor="text2"/>
          <w:szCs w:val="24"/>
          <w:u w:val="single"/>
        </w:rPr>
        <w:t>Objet</w:t>
      </w:r>
      <w:r w:rsidRPr="004E3BB6">
        <w:rPr>
          <w:b/>
          <w:color w:val="1F497D" w:themeColor="text2"/>
          <w:szCs w:val="24"/>
        </w:rPr>
        <w:t xml:space="preserve"> : </w:t>
      </w:r>
      <w:r w:rsidR="000E31CF">
        <w:rPr>
          <w:b/>
          <w:color w:val="1F497D" w:themeColor="text2"/>
          <w:szCs w:val="24"/>
        </w:rPr>
        <w:t>Manipulation et utilisation de gaz</w:t>
      </w:r>
    </w:p>
    <w:p w:rsidR="00F408E2" w:rsidRDefault="00F408E2" w:rsidP="00F408E2">
      <w:pPr>
        <w:spacing w:after="0"/>
        <w:jc w:val="both"/>
        <w:rPr>
          <w:szCs w:val="24"/>
        </w:rPr>
      </w:pPr>
    </w:p>
    <w:p w:rsidR="000E31CF" w:rsidRDefault="000E31CF" w:rsidP="00F408E2">
      <w:pPr>
        <w:spacing w:after="0"/>
        <w:jc w:val="both"/>
        <w:rPr>
          <w:szCs w:val="24"/>
        </w:rPr>
      </w:pPr>
      <w:r>
        <w:rPr>
          <w:szCs w:val="24"/>
        </w:rPr>
        <w:t xml:space="preserve">Suite à la révision du document unique, qui retranscrit les différents risques professionnels du laboratoire, un certain nombre de points concernant l’utilisation des bouteilles de gaz ont été soulignés : </w:t>
      </w:r>
    </w:p>
    <w:p w:rsidR="000E31CF" w:rsidRDefault="000E31CF" w:rsidP="000E31CF">
      <w:pPr>
        <w:pStyle w:val="Paragraphedeliste"/>
        <w:numPr>
          <w:ilvl w:val="0"/>
          <w:numId w:val="14"/>
        </w:numPr>
        <w:spacing w:after="0"/>
        <w:jc w:val="both"/>
        <w:rPr>
          <w:szCs w:val="24"/>
        </w:rPr>
      </w:pPr>
      <w:r>
        <w:rPr>
          <w:szCs w:val="24"/>
        </w:rPr>
        <w:t>Bouteilles non arrimées ou mal arrimées</w:t>
      </w:r>
    </w:p>
    <w:p w:rsidR="000E31CF" w:rsidRDefault="000E31CF" w:rsidP="000E31CF">
      <w:pPr>
        <w:pStyle w:val="Paragraphedeliste"/>
        <w:numPr>
          <w:ilvl w:val="0"/>
          <w:numId w:val="14"/>
        </w:numPr>
        <w:spacing w:after="0"/>
        <w:jc w:val="both"/>
        <w:rPr>
          <w:szCs w:val="24"/>
        </w:rPr>
      </w:pPr>
      <w:r>
        <w:rPr>
          <w:szCs w:val="24"/>
        </w:rPr>
        <w:t>Bouteilles stockées alors que non utilisées</w:t>
      </w:r>
    </w:p>
    <w:p w:rsidR="000E31CF" w:rsidRDefault="000E31CF" w:rsidP="000E31CF">
      <w:pPr>
        <w:pStyle w:val="Paragraphedeliste"/>
        <w:numPr>
          <w:ilvl w:val="0"/>
          <w:numId w:val="14"/>
        </w:numPr>
        <w:spacing w:after="0"/>
        <w:jc w:val="both"/>
        <w:rPr>
          <w:szCs w:val="24"/>
        </w:rPr>
      </w:pPr>
      <w:r>
        <w:rPr>
          <w:szCs w:val="24"/>
        </w:rPr>
        <w:t>Bouteilles avec une date de validité dépassée</w:t>
      </w:r>
    </w:p>
    <w:p w:rsidR="000E31CF" w:rsidRDefault="000E31CF" w:rsidP="000E31CF">
      <w:pPr>
        <w:spacing w:after="0"/>
        <w:jc w:val="both"/>
        <w:rPr>
          <w:szCs w:val="24"/>
        </w:rPr>
      </w:pPr>
    </w:p>
    <w:p w:rsidR="000E31CF" w:rsidRDefault="000E31CF" w:rsidP="000E31CF">
      <w:pPr>
        <w:spacing w:after="0"/>
        <w:jc w:val="both"/>
        <w:rPr>
          <w:szCs w:val="24"/>
        </w:rPr>
      </w:pPr>
      <w:r>
        <w:rPr>
          <w:szCs w:val="24"/>
        </w:rPr>
        <w:t xml:space="preserve">Il est rappelé que pour tout </w:t>
      </w:r>
      <w:r w:rsidRPr="00042099">
        <w:rPr>
          <w:b/>
          <w:szCs w:val="24"/>
        </w:rPr>
        <w:t>achat</w:t>
      </w:r>
      <w:r>
        <w:rPr>
          <w:szCs w:val="24"/>
        </w:rPr>
        <w:t xml:space="preserve"> ou </w:t>
      </w:r>
      <w:r w:rsidRPr="00042099">
        <w:rPr>
          <w:b/>
          <w:szCs w:val="24"/>
        </w:rPr>
        <w:t>remplacement</w:t>
      </w:r>
      <w:r>
        <w:rPr>
          <w:szCs w:val="24"/>
        </w:rPr>
        <w:t xml:space="preserve"> d’une bouteille de gaz, ainsi que pour son </w:t>
      </w:r>
      <w:r w:rsidRPr="00042099">
        <w:rPr>
          <w:b/>
          <w:szCs w:val="24"/>
        </w:rPr>
        <w:t>élimination</w:t>
      </w:r>
      <w:r>
        <w:rPr>
          <w:szCs w:val="24"/>
        </w:rPr>
        <w:t>, vous devez</w:t>
      </w:r>
      <w:r w:rsidR="00E26AB8">
        <w:rPr>
          <w:szCs w:val="24"/>
        </w:rPr>
        <w:t xml:space="preserve"> vous adresser à T. Been (poste 4485</w:t>
      </w:r>
      <w:r>
        <w:rPr>
          <w:szCs w:val="24"/>
        </w:rPr>
        <w:t xml:space="preserve">). </w:t>
      </w:r>
    </w:p>
    <w:p w:rsidR="000E31CF" w:rsidRDefault="000E31CF" w:rsidP="000E31CF">
      <w:pPr>
        <w:spacing w:after="0"/>
        <w:jc w:val="both"/>
        <w:rPr>
          <w:szCs w:val="24"/>
        </w:rPr>
      </w:pPr>
      <w:r w:rsidRPr="00E26AB8">
        <w:rPr>
          <w:b/>
          <w:szCs w:val="24"/>
        </w:rPr>
        <w:t xml:space="preserve">Tout nouveau montage </w:t>
      </w:r>
      <w:r w:rsidR="002422FC" w:rsidRPr="00E26AB8">
        <w:rPr>
          <w:b/>
          <w:szCs w:val="24"/>
        </w:rPr>
        <w:t>doit être impérativement signalé à la cellule QSE</w:t>
      </w:r>
      <w:r w:rsidR="002422FC">
        <w:rPr>
          <w:szCs w:val="24"/>
        </w:rPr>
        <w:t xml:space="preserve"> : Q. Legrand (poste 4509). </w:t>
      </w:r>
    </w:p>
    <w:p w:rsidR="002422FC" w:rsidRPr="00E26AB8" w:rsidRDefault="002422FC" w:rsidP="000E31CF">
      <w:pPr>
        <w:spacing w:after="0"/>
        <w:jc w:val="both"/>
        <w:rPr>
          <w:b/>
          <w:szCs w:val="24"/>
        </w:rPr>
      </w:pPr>
      <w:r w:rsidRPr="00E26AB8">
        <w:rPr>
          <w:b/>
          <w:szCs w:val="24"/>
        </w:rPr>
        <w:t xml:space="preserve">Les bouteilles de gaz, après utilisation, doivent être rapportées dans les parcs de stockage extérieur. </w:t>
      </w:r>
    </w:p>
    <w:p w:rsidR="002422FC" w:rsidRDefault="002422FC" w:rsidP="000E31CF">
      <w:pPr>
        <w:spacing w:after="0"/>
        <w:jc w:val="both"/>
        <w:rPr>
          <w:szCs w:val="24"/>
        </w:rPr>
      </w:pPr>
    </w:p>
    <w:p w:rsidR="00A631CA" w:rsidRPr="00A631CA" w:rsidRDefault="00A631CA" w:rsidP="00A631CA">
      <w:pPr>
        <w:pStyle w:val="Paragraphedeliste"/>
        <w:numPr>
          <w:ilvl w:val="0"/>
          <w:numId w:val="15"/>
        </w:numPr>
        <w:spacing w:after="0"/>
        <w:jc w:val="both"/>
        <w:rPr>
          <w:b/>
          <w:color w:val="1F497D" w:themeColor="text2"/>
          <w:szCs w:val="24"/>
        </w:rPr>
      </w:pPr>
      <w:r w:rsidRPr="00A631CA">
        <w:rPr>
          <w:b/>
          <w:color w:val="1F497D" w:themeColor="text2"/>
          <w:szCs w:val="24"/>
        </w:rPr>
        <w:t>Description des bouteilles de gaz</w:t>
      </w:r>
      <w:r w:rsidR="00024B12">
        <w:rPr>
          <w:b/>
          <w:color w:val="1F497D" w:themeColor="text2"/>
          <w:szCs w:val="24"/>
        </w:rPr>
        <w:t xml:space="preserve"> et risques associés</w:t>
      </w:r>
    </w:p>
    <w:p w:rsidR="00A631CA" w:rsidRDefault="00024B12" w:rsidP="000E31CF">
      <w:pPr>
        <w:spacing w:after="0"/>
        <w:jc w:val="both"/>
        <w:rPr>
          <w:szCs w:val="24"/>
        </w:rPr>
      </w:pPr>
      <w:r>
        <w:rPr>
          <w:noProof/>
          <w:szCs w:val="24"/>
          <w:lang w:eastAsia="fr-FR"/>
        </w:rPr>
        <w:drawing>
          <wp:anchor distT="0" distB="0" distL="114300" distR="114300" simplePos="0" relativeHeight="251658240" behindDoc="0" locked="0" layoutInCell="1" allowOverlap="1">
            <wp:simplePos x="0" y="0"/>
            <wp:positionH relativeFrom="column">
              <wp:posOffset>-344170</wp:posOffset>
            </wp:positionH>
            <wp:positionV relativeFrom="paragraph">
              <wp:posOffset>165735</wp:posOffset>
            </wp:positionV>
            <wp:extent cx="3323590" cy="3606800"/>
            <wp:effectExtent l="1905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722" t="16300" r="26357" b="3087"/>
                    <a:stretch>
                      <a:fillRect/>
                    </a:stretch>
                  </pic:blipFill>
                  <pic:spPr bwMode="auto">
                    <a:xfrm>
                      <a:off x="0" y="0"/>
                      <a:ext cx="3323590" cy="3606800"/>
                    </a:xfrm>
                    <a:prstGeom prst="rect">
                      <a:avLst/>
                    </a:prstGeom>
                    <a:noFill/>
                    <a:ln w="9525">
                      <a:noFill/>
                      <a:miter lim="800000"/>
                      <a:headEnd/>
                      <a:tailEnd/>
                    </a:ln>
                  </pic:spPr>
                </pic:pic>
              </a:graphicData>
            </a:graphic>
          </wp:anchor>
        </w:drawing>
      </w:r>
    </w:p>
    <w:p w:rsidR="00024B12" w:rsidRDefault="00024B12" w:rsidP="000E31CF">
      <w:pPr>
        <w:spacing w:after="0"/>
        <w:jc w:val="both"/>
        <w:rPr>
          <w:szCs w:val="24"/>
        </w:rPr>
      </w:pPr>
      <w:r>
        <w:rPr>
          <w:szCs w:val="24"/>
        </w:rPr>
        <w:t xml:space="preserve">Les risques principaux concernant les bouteilles de gaz comprimés sont liés à la nature, à la pression et à la manutention : </w:t>
      </w:r>
    </w:p>
    <w:p w:rsidR="00024B12" w:rsidRDefault="00024B12" w:rsidP="00024B12">
      <w:pPr>
        <w:pStyle w:val="Paragraphedeliste"/>
        <w:numPr>
          <w:ilvl w:val="0"/>
          <w:numId w:val="14"/>
        </w:numPr>
        <w:spacing w:after="0"/>
        <w:jc w:val="both"/>
        <w:rPr>
          <w:szCs w:val="24"/>
        </w:rPr>
      </w:pPr>
      <w:r w:rsidRPr="00E26AB8">
        <w:rPr>
          <w:b/>
          <w:szCs w:val="24"/>
        </w:rPr>
        <w:t>Libération soudaine et incontrôlée du contenu d’une bouteille</w:t>
      </w:r>
      <w:r>
        <w:rPr>
          <w:szCs w:val="24"/>
        </w:rPr>
        <w:t xml:space="preserve"> : Une bouteille endommagée peut se transformer en véritable </w:t>
      </w:r>
      <w:r w:rsidRPr="00E26AB8">
        <w:rPr>
          <w:b/>
          <w:szCs w:val="24"/>
        </w:rPr>
        <w:t>fusée</w:t>
      </w:r>
      <w:r>
        <w:rPr>
          <w:szCs w:val="24"/>
        </w:rPr>
        <w:t xml:space="preserve"> ou se mettre à tourner sur elle-même à très grande vitesse, pouvant causer des dommages importants et des blessures graves. Endommager le robinet d’une bouteille décapuchonnée en la heurtant peut causer ce genre d’accident. </w:t>
      </w:r>
    </w:p>
    <w:p w:rsidR="00D437EE" w:rsidRDefault="00024B12" w:rsidP="00024B12">
      <w:pPr>
        <w:pStyle w:val="Paragraphedeliste"/>
        <w:numPr>
          <w:ilvl w:val="0"/>
          <w:numId w:val="14"/>
        </w:numPr>
        <w:spacing w:after="0"/>
        <w:jc w:val="both"/>
        <w:rPr>
          <w:szCs w:val="24"/>
        </w:rPr>
      </w:pPr>
      <w:r w:rsidRPr="00E26AB8">
        <w:rPr>
          <w:b/>
          <w:szCs w:val="24"/>
        </w:rPr>
        <w:t xml:space="preserve">Asphyxie </w:t>
      </w:r>
      <w:r>
        <w:rPr>
          <w:szCs w:val="24"/>
        </w:rPr>
        <w:t xml:space="preserve">(azote, hélium, SF6, …) : Une bouteille de gaz comprimé peut contenir un énorme volume de </w:t>
      </w:r>
      <w:r w:rsidR="00D437EE">
        <w:rPr>
          <w:szCs w:val="24"/>
        </w:rPr>
        <w:t xml:space="preserve">gaz, qui en cas de fuite fera </w:t>
      </w:r>
      <w:r w:rsidR="00D437EE" w:rsidRPr="00E26AB8">
        <w:rPr>
          <w:b/>
          <w:szCs w:val="24"/>
        </w:rPr>
        <w:t>baisser le taux d’oxygène</w:t>
      </w:r>
      <w:r w:rsidR="00D437EE">
        <w:rPr>
          <w:szCs w:val="24"/>
        </w:rPr>
        <w:t xml:space="preserve"> dans l’air. En dessous d’un certain seuil, cela provoquera différents symptômes pouvant aller de la perte de connaissance à la mort. </w:t>
      </w:r>
    </w:p>
    <w:p w:rsidR="00A631CA" w:rsidRPr="00E26AB8" w:rsidRDefault="00D437EE" w:rsidP="00F408E2">
      <w:pPr>
        <w:pStyle w:val="Paragraphedeliste"/>
        <w:numPr>
          <w:ilvl w:val="0"/>
          <w:numId w:val="14"/>
        </w:numPr>
        <w:spacing w:after="0"/>
        <w:jc w:val="both"/>
        <w:rPr>
          <w:szCs w:val="24"/>
        </w:rPr>
      </w:pPr>
      <w:r w:rsidRPr="00E26AB8">
        <w:rPr>
          <w:b/>
          <w:szCs w:val="24"/>
        </w:rPr>
        <w:t>Autres risques</w:t>
      </w:r>
      <w:r>
        <w:rPr>
          <w:szCs w:val="24"/>
        </w:rPr>
        <w:t xml:space="preserve"> : De nombreux gaz comprimés sont </w:t>
      </w:r>
      <w:r w:rsidRPr="00E26AB8">
        <w:rPr>
          <w:b/>
          <w:szCs w:val="24"/>
        </w:rPr>
        <w:t>inflammables</w:t>
      </w:r>
      <w:r>
        <w:rPr>
          <w:szCs w:val="24"/>
        </w:rPr>
        <w:t xml:space="preserve"> (hydrogène, acétylène, …), </w:t>
      </w:r>
      <w:r w:rsidRPr="00E26AB8">
        <w:rPr>
          <w:b/>
          <w:szCs w:val="24"/>
        </w:rPr>
        <w:t>comburants</w:t>
      </w:r>
      <w:r>
        <w:rPr>
          <w:szCs w:val="24"/>
        </w:rPr>
        <w:t xml:space="preserve"> (oxygène, …)</w:t>
      </w:r>
      <w:r w:rsidR="00024B12">
        <w:rPr>
          <w:szCs w:val="24"/>
        </w:rPr>
        <w:t xml:space="preserve"> </w:t>
      </w:r>
      <w:r>
        <w:rPr>
          <w:szCs w:val="24"/>
        </w:rPr>
        <w:t xml:space="preserve">ou </w:t>
      </w:r>
      <w:r w:rsidRPr="00E26AB8">
        <w:rPr>
          <w:b/>
          <w:szCs w:val="24"/>
        </w:rPr>
        <w:t>toxiques</w:t>
      </w:r>
      <w:r>
        <w:rPr>
          <w:szCs w:val="24"/>
        </w:rPr>
        <w:t xml:space="preserve"> (monoxyde de carbones, ammoniac, …), et ils peuvent occasionner divers problèmes de santé selon la nature, leur concentration, la durée d’exposition ainsi que la voie d’exposition (inhalation, contact oculaire, contact cutané). </w:t>
      </w:r>
    </w:p>
    <w:p w:rsidR="00A631CA" w:rsidRPr="00E26AB8" w:rsidRDefault="00A631CA" w:rsidP="00A631CA">
      <w:pPr>
        <w:pStyle w:val="Paragraphedeliste"/>
        <w:numPr>
          <w:ilvl w:val="0"/>
          <w:numId w:val="15"/>
        </w:numPr>
        <w:spacing w:after="0"/>
        <w:jc w:val="both"/>
        <w:rPr>
          <w:b/>
          <w:color w:val="1F497D" w:themeColor="text2"/>
          <w:szCs w:val="24"/>
        </w:rPr>
      </w:pPr>
      <w:r w:rsidRPr="00E26AB8">
        <w:rPr>
          <w:b/>
          <w:color w:val="1F497D" w:themeColor="text2"/>
          <w:szCs w:val="24"/>
        </w:rPr>
        <w:lastRenderedPageBreak/>
        <w:t>Le stockage</w:t>
      </w:r>
    </w:p>
    <w:p w:rsidR="00A631CA" w:rsidRDefault="00A631CA" w:rsidP="00A631CA">
      <w:pPr>
        <w:spacing w:after="0"/>
        <w:jc w:val="both"/>
        <w:rPr>
          <w:szCs w:val="24"/>
        </w:rPr>
      </w:pPr>
    </w:p>
    <w:p w:rsidR="00A631CA" w:rsidRDefault="00A631CA" w:rsidP="00A631CA">
      <w:pPr>
        <w:pStyle w:val="Paragraphedeliste"/>
        <w:numPr>
          <w:ilvl w:val="0"/>
          <w:numId w:val="14"/>
        </w:numPr>
        <w:spacing w:after="0"/>
        <w:jc w:val="both"/>
        <w:rPr>
          <w:szCs w:val="24"/>
        </w:rPr>
      </w:pPr>
      <w:r>
        <w:rPr>
          <w:szCs w:val="24"/>
        </w:rPr>
        <w:t>Choisir un emplacement de stockage sec, bien ventilé, protégé des variations de températures trop importantes, du soleil, à distance des portes, passages et escaliers</w:t>
      </w:r>
    </w:p>
    <w:p w:rsidR="00A631CA" w:rsidRDefault="00085A5B" w:rsidP="00A631CA">
      <w:pPr>
        <w:pStyle w:val="Paragraphedeliste"/>
        <w:numPr>
          <w:ilvl w:val="0"/>
          <w:numId w:val="14"/>
        </w:numPr>
        <w:spacing w:after="0"/>
        <w:jc w:val="both"/>
        <w:rPr>
          <w:szCs w:val="24"/>
        </w:rPr>
      </w:pPr>
      <w:r>
        <w:rPr>
          <w:szCs w:val="24"/>
        </w:rPr>
        <w:t>Séparer les bouteilles vides des pleines</w:t>
      </w:r>
    </w:p>
    <w:p w:rsidR="00085A5B" w:rsidRPr="00085A5B" w:rsidRDefault="00085A5B" w:rsidP="00085A5B">
      <w:pPr>
        <w:spacing w:after="0"/>
        <w:jc w:val="both"/>
        <w:rPr>
          <w:szCs w:val="24"/>
        </w:rPr>
      </w:pPr>
      <w:r>
        <w:rPr>
          <w:szCs w:val="24"/>
        </w:rPr>
        <w:t xml:space="preserve">Sur le site du </w:t>
      </w:r>
      <w:r w:rsidRPr="00E26AB8">
        <w:rPr>
          <w:b/>
          <w:szCs w:val="24"/>
        </w:rPr>
        <w:t>GANIL</w:t>
      </w:r>
      <w:r>
        <w:rPr>
          <w:szCs w:val="24"/>
        </w:rPr>
        <w:t xml:space="preserve">, vous devez </w:t>
      </w:r>
      <w:r w:rsidR="00042099">
        <w:rPr>
          <w:szCs w:val="24"/>
        </w:rPr>
        <w:t xml:space="preserve">rapporter les bouteilles vides à </w:t>
      </w:r>
      <w:r w:rsidR="00042099" w:rsidRPr="00042099">
        <w:rPr>
          <w:b/>
          <w:szCs w:val="24"/>
        </w:rPr>
        <w:t>T. Been</w:t>
      </w:r>
      <w:r>
        <w:rPr>
          <w:szCs w:val="24"/>
        </w:rPr>
        <w:t xml:space="preserve">. Sur le site de </w:t>
      </w:r>
      <w:r w:rsidRPr="00E26AB8">
        <w:rPr>
          <w:b/>
          <w:szCs w:val="24"/>
        </w:rPr>
        <w:t>l’ENSI</w:t>
      </w:r>
      <w:r>
        <w:rPr>
          <w:szCs w:val="24"/>
        </w:rPr>
        <w:t xml:space="preserve">, vous devez </w:t>
      </w:r>
      <w:r w:rsidR="003E6D53">
        <w:rPr>
          <w:szCs w:val="24"/>
        </w:rPr>
        <w:t xml:space="preserve">les rapporter à </w:t>
      </w:r>
      <w:r w:rsidR="003E6D53" w:rsidRPr="00E26AB8">
        <w:rPr>
          <w:b/>
          <w:szCs w:val="24"/>
        </w:rPr>
        <w:t xml:space="preserve">JP. </w:t>
      </w:r>
      <w:proofErr w:type="spellStart"/>
      <w:r w:rsidR="003E6D53" w:rsidRPr="00E26AB8">
        <w:rPr>
          <w:b/>
          <w:szCs w:val="24"/>
        </w:rPr>
        <w:t>Salandin</w:t>
      </w:r>
      <w:proofErr w:type="spellEnd"/>
      <w:r w:rsidR="003E6D53">
        <w:rPr>
          <w:szCs w:val="24"/>
        </w:rPr>
        <w:t>.</w:t>
      </w:r>
    </w:p>
    <w:p w:rsidR="00085A5B" w:rsidRDefault="00085A5B" w:rsidP="00A631CA">
      <w:pPr>
        <w:pStyle w:val="Paragraphedeliste"/>
        <w:numPr>
          <w:ilvl w:val="0"/>
          <w:numId w:val="14"/>
        </w:numPr>
        <w:spacing w:after="0"/>
        <w:jc w:val="both"/>
        <w:rPr>
          <w:szCs w:val="24"/>
        </w:rPr>
      </w:pPr>
      <w:r>
        <w:rPr>
          <w:szCs w:val="24"/>
        </w:rPr>
        <w:t>Séparer les comburants des inflammables</w:t>
      </w:r>
    </w:p>
    <w:p w:rsidR="00ED03FC" w:rsidRDefault="00E26AB8" w:rsidP="00A631CA">
      <w:pPr>
        <w:pStyle w:val="Paragraphedeliste"/>
        <w:numPr>
          <w:ilvl w:val="0"/>
          <w:numId w:val="14"/>
        </w:numPr>
        <w:spacing w:after="0"/>
        <w:jc w:val="both"/>
        <w:rPr>
          <w:szCs w:val="24"/>
        </w:rPr>
      </w:pPr>
      <w:r w:rsidRPr="00E26AB8">
        <w:rPr>
          <w:b/>
          <w:szCs w:val="24"/>
        </w:rPr>
        <w:t>Arrimer</w:t>
      </w:r>
      <w:r w:rsidR="00ED03FC" w:rsidRPr="00E26AB8">
        <w:rPr>
          <w:b/>
          <w:szCs w:val="24"/>
        </w:rPr>
        <w:t xml:space="preserve"> la bouteille</w:t>
      </w:r>
      <w:r w:rsidR="00ED03FC">
        <w:rPr>
          <w:szCs w:val="24"/>
        </w:rPr>
        <w:t xml:space="preserve"> en position verticale au moyen d’une chaîne ou d’une sangle sur un mur ou à un support (rack) au 2/3 de sa hauteur</w:t>
      </w:r>
    </w:p>
    <w:p w:rsidR="00ED03FC" w:rsidRDefault="00ED03FC" w:rsidP="00A631CA">
      <w:pPr>
        <w:pStyle w:val="Paragraphedeliste"/>
        <w:numPr>
          <w:ilvl w:val="0"/>
          <w:numId w:val="14"/>
        </w:numPr>
        <w:spacing w:after="0"/>
        <w:jc w:val="both"/>
        <w:rPr>
          <w:szCs w:val="24"/>
        </w:rPr>
      </w:pPr>
      <w:r w:rsidRPr="00E26AB8">
        <w:rPr>
          <w:b/>
          <w:szCs w:val="24"/>
        </w:rPr>
        <w:t>Fermer les bouteilles</w:t>
      </w:r>
      <w:r>
        <w:rPr>
          <w:szCs w:val="24"/>
        </w:rPr>
        <w:t>, même si elles sont vides</w:t>
      </w:r>
    </w:p>
    <w:p w:rsidR="00ED03FC" w:rsidRDefault="00ED03FC" w:rsidP="00A631CA">
      <w:pPr>
        <w:pStyle w:val="Paragraphedeliste"/>
        <w:numPr>
          <w:ilvl w:val="0"/>
          <w:numId w:val="14"/>
        </w:numPr>
        <w:spacing w:after="0"/>
        <w:jc w:val="both"/>
        <w:rPr>
          <w:szCs w:val="24"/>
        </w:rPr>
      </w:pPr>
      <w:r w:rsidRPr="00E26AB8">
        <w:rPr>
          <w:b/>
          <w:szCs w:val="24"/>
        </w:rPr>
        <w:t xml:space="preserve">Retirer systématiquement les détendeurs </w:t>
      </w:r>
      <w:r>
        <w:rPr>
          <w:szCs w:val="24"/>
        </w:rPr>
        <w:t>des bouteilles après utilisation. Les détendeurs ne sont pas des vannes d’arrêt (fuite toujours présente) et engendre un risque important d’effet « fusée » en cas de chute de la bouteille</w:t>
      </w:r>
    </w:p>
    <w:p w:rsidR="00ED03FC" w:rsidRDefault="00ED03FC" w:rsidP="00ED03FC">
      <w:pPr>
        <w:spacing w:after="0"/>
        <w:jc w:val="both"/>
        <w:rPr>
          <w:szCs w:val="24"/>
        </w:rPr>
      </w:pPr>
    </w:p>
    <w:p w:rsidR="00DD0F76" w:rsidRPr="00E26AB8" w:rsidRDefault="00DD0F76" w:rsidP="00DD0F76">
      <w:pPr>
        <w:pStyle w:val="Paragraphedeliste"/>
        <w:numPr>
          <w:ilvl w:val="0"/>
          <w:numId w:val="15"/>
        </w:numPr>
        <w:spacing w:after="0"/>
        <w:jc w:val="both"/>
        <w:rPr>
          <w:b/>
          <w:color w:val="1F497D" w:themeColor="text2"/>
          <w:szCs w:val="24"/>
        </w:rPr>
      </w:pPr>
      <w:r w:rsidRPr="00E26AB8">
        <w:rPr>
          <w:b/>
          <w:color w:val="1F497D" w:themeColor="text2"/>
          <w:szCs w:val="24"/>
        </w:rPr>
        <w:t>Manutention / Transport</w:t>
      </w:r>
    </w:p>
    <w:p w:rsidR="00DD0F76" w:rsidRDefault="00DD0F76" w:rsidP="00DD0F76">
      <w:pPr>
        <w:spacing w:after="0"/>
        <w:jc w:val="both"/>
        <w:rPr>
          <w:szCs w:val="24"/>
        </w:rPr>
      </w:pPr>
    </w:p>
    <w:p w:rsidR="00DD0F76" w:rsidRDefault="00DD0F76" w:rsidP="00DD0F76">
      <w:pPr>
        <w:pStyle w:val="Paragraphedeliste"/>
        <w:numPr>
          <w:ilvl w:val="0"/>
          <w:numId w:val="14"/>
        </w:numPr>
        <w:spacing w:after="0"/>
        <w:jc w:val="both"/>
        <w:rPr>
          <w:szCs w:val="24"/>
        </w:rPr>
      </w:pPr>
      <w:r>
        <w:rPr>
          <w:szCs w:val="24"/>
        </w:rPr>
        <w:t xml:space="preserve">Utiliser un </w:t>
      </w:r>
      <w:r w:rsidRPr="00E26AB8">
        <w:rPr>
          <w:b/>
          <w:szCs w:val="24"/>
        </w:rPr>
        <w:t>chariot porte-bouteille</w:t>
      </w:r>
      <w:r>
        <w:rPr>
          <w:szCs w:val="24"/>
        </w:rPr>
        <w:t xml:space="preserve"> adapté</w:t>
      </w:r>
    </w:p>
    <w:p w:rsidR="00DD0F76" w:rsidRDefault="00DD0F76" w:rsidP="00DD0F76">
      <w:pPr>
        <w:pStyle w:val="Paragraphedeliste"/>
        <w:numPr>
          <w:ilvl w:val="0"/>
          <w:numId w:val="14"/>
        </w:numPr>
        <w:spacing w:after="0"/>
        <w:jc w:val="both"/>
        <w:rPr>
          <w:szCs w:val="24"/>
        </w:rPr>
      </w:pPr>
      <w:r w:rsidRPr="00E26AB8">
        <w:rPr>
          <w:b/>
          <w:szCs w:val="24"/>
        </w:rPr>
        <w:t>Fermer les bouteilles</w:t>
      </w:r>
      <w:r>
        <w:rPr>
          <w:szCs w:val="24"/>
        </w:rPr>
        <w:t xml:space="preserve"> avant le transport, vérifier les éventuelles fuites</w:t>
      </w:r>
    </w:p>
    <w:p w:rsidR="00DD0F76" w:rsidRDefault="00DD0F76" w:rsidP="00DD0F76">
      <w:pPr>
        <w:pStyle w:val="Paragraphedeliste"/>
        <w:numPr>
          <w:ilvl w:val="0"/>
          <w:numId w:val="14"/>
        </w:numPr>
        <w:spacing w:after="0"/>
        <w:jc w:val="both"/>
        <w:rPr>
          <w:szCs w:val="24"/>
        </w:rPr>
      </w:pPr>
      <w:r w:rsidRPr="00E26AB8">
        <w:rPr>
          <w:b/>
          <w:szCs w:val="24"/>
        </w:rPr>
        <w:t>Ne pas transporter les bouteilles munies de leurs accessoires</w:t>
      </w:r>
      <w:r>
        <w:rPr>
          <w:szCs w:val="24"/>
        </w:rPr>
        <w:t xml:space="preserve"> (détendeur, …)</w:t>
      </w:r>
    </w:p>
    <w:p w:rsidR="00DD0F76" w:rsidRDefault="00DD0F76" w:rsidP="00DD0F76">
      <w:pPr>
        <w:pStyle w:val="Paragraphedeliste"/>
        <w:numPr>
          <w:ilvl w:val="0"/>
          <w:numId w:val="14"/>
        </w:numPr>
        <w:spacing w:after="0"/>
        <w:jc w:val="both"/>
        <w:rPr>
          <w:szCs w:val="24"/>
        </w:rPr>
      </w:pPr>
      <w:r>
        <w:rPr>
          <w:szCs w:val="24"/>
        </w:rPr>
        <w:t xml:space="preserve">Ne jamais déplacer une bouteille non équipée de son </w:t>
      </w:r>
      <w:r w:rsidRPr="00E26AB8">
        <w:rPr>
          <w:b/>
          <w:szCs w:val="24"/>
        </w:rPr>
        <w:t>chapeau de protection</w:t>
      </w:r>
    </w:p>
    <w:p w:rsidR="00DD0F76" w:rsidRDefault="00DD0F76" w:rsidP="00DD0F76">
      <w:pPr>
        <w:pStyle w:val="Paragraphedeliste"/>
        <w:numPr>
          <w:ilvl w:val="0"/>
          <w:numId w:val="14"/>
        </w:numPr>
        <w:spacing w:after="0"/>
        <w:jc w:val="both"/>
        <w:rPr>
          <w:szCs w:val="24"/>
        </w:rPr>
      </w:pPr>
      <w:r>
        <w:rPr>
          <w:szCs w:val="24"/>
        </w:rPr>
        <w:t xml:space="preserve">Porter les </w:t>
      </w:r>
      <w:r w:rsidRPr="00E26AB8">
        <w:rPr>
          <w:b/>
          <w:szCs w:val="24"/>
        </w:rPr>
        <w:t>E</w:t>
      </w:r>
      <w:r w:rsidR="00E26AB8" w:rsidRPr="00E26AB8">
        <w:rPr>
          <w:b/>
          <w:szCs w:val="24"/>
        </w:rPr>
        <w:t xml:space="preserve">quipements de </w:t>
      </w:r>
      <w:r w:rsidRPr="00E26AB8">
        <w:rPr>
          <w:b/>
          <w:szCs w:val="24"/>
        </w:rPr>
        <w:t>P</w:t>
      </w:r>
      <w:r w:rsidR="00E26AB8" w:rsidRPr="00E26AB8">
        <w:rPr>
          <w:b/>
          <w:szCs w:val="24"/>
        </w:rPr>
        <w:t xml:space="preserve">rotection </w:t>
      </w:r>
      <w:r w:rsidRPr="00E26AB8">
        <w:rPr>
          <w:b/>
          <w:szCs w:val="24"/>
        </w:rPr>
        <w:t>I</w:t>
      </w:r>
      <w:r w:rsidR="00E26AB8" w:rsidRPr="00E26AB8">
        <w:rPr>
          <w:b/>
          <w:szCs w:val="24"/>
        </w:rPr>
        <w:t>ndividuels</w:t>
      </w:r>
      <w:r>
        <w:rPr>
          <w:szCs w:val="24"/>
        </w:rPr>
        <w:t xml:space="preserve"> (gants et chaussures de sécurité)</w:t>
      </w:r>
    </w:p>
    <w:p w:rsidR="00DD0F76" w:rsidRDefault="00034849" w:rsidP="00DD0F76">
      <w:pPr>
        <w:pStyle w:val="Paragraphedeliste"/>
        <w:numPr>
          <w:ilvl w:val="0"/>
          <w:numId w:val="14"/>
        </w:numPr>
        <w:spacing w:after="0"/>
        <w:jc w:val="both"/>
        <w:rPr>
          <w:szCs w:val="24"/>
        </w:rPr>
      </w:pPr>
      <w:r w:rsidRPr="00E26AB8">
        <w:rPr>
          <w:b/>
          <w:szCs w:val="24"/>
        </w:rPr>
        <w:t>Le transport des bouteilles dans un véhicule personnel est interdit</w:t>
      </w:r>
      <w:r>
        <w:rPr>
          <w:szCs w:val="24"/>
        </w:rPr>
        <w:t>. Le transport sur la voie publique est soumis à la réglementation ADR et le véhicule d’une cabine séparée et d’une aération en partie haute et basse</w:t>
      </w:r>
    </w:p>
    <w:p w:rsidR="00034849" w:rsidRDefault="00034849" w:rsidP="00034849">
      <w:pPr>
        <w:spacing w:after="0"/>
        <w:jc w:val="both"/>
        <w:rPr>
          <w:szCs w:val="24"/>
        </w:rPr>
      </w:pPr>
    </w:p>
    <w:p w:rsidR="00034849" w:rsidRPr="00E26AB8" w:rsidRDefault="00034849" w:rsidP="00034849">
      <w:pPr>
        <w:pStyle w:val="Paragraphedeliste"/>
        <w:numPr>
          <w:ilvl w:val="0"/>
          <w:numId w:val="15"/>
        </w:numPr>
        <w:spacing w:after="0"/>
        <w:jc w:val="both"/>
        <w:rPr>
          <w:b/>
          <w:color w:val="1F497D" w:themeColor="text2"/>
          <w:szCs w:val="24"/>
        </w:rPr>
      </w:pPr>
      <w:r w:rsidRPr="00E26AB8">
        <w:rPr>
          <w:b/>
          <w:color w:val="1F497D" w:themeColor="text2"/>
          <w:szCs w:val="24"/>
        </w:rPr>
        <w:t>Mise en service et utilisation</w:t>
      </w:r>
    </w:p>
    <w:p w:rsidR="00034849" w:rsidRDefault="00034849" w:rsidP="00034849">
      <w:pPr>
        <w:spacing w:after="0"/>
        <w:jc w:val="both"/>
        <w:rPr>
          <w:szCs w:val="24"/>
        </w:rPr>
      </w:pPr>
    </w:p>
    <w:p w:rsidR="00034849" w:rsidRDefault="00034849" w:rsidP="00034849">
      <w:pPr>
        <w:pStyle w:val="Paragraphedeliste"/>
        <w:numPr>
          <w:ilvl w:val="0"/>
          <w:numId w:val="14"/>
        </w:numPr>
        <w:spacing w:after="0"/>
        <w:jc w:val="both"/>
        <w:rPr>
          <w:szCs w:val="24"/>
        </w:rPr>
      </w:pPr>
      <w:r>
        <w:rPr>
          <w:szCs w:val="24"/>
        </w:rPr>
        <w:t xml:space="preserve">Consulter la </w:t>
      </w:r>
      <w:r w:rsidRPr="00E26AB8">
        <w:rPr>
          <w:b/>
          <w:szCs w:val="24"/>
        </w:rPr>
        <w:t>F</w:t>
      </w:r>
      <w:r w:rsidR="00E26AB8" w:rsidRPr="00E26AB8">
        <w:rPr>
          <w:b/>
          <w:szCs w:val="24"/>
        </w:rPr>
        <w:t xml:space="preserve">iche de </w:t>
      </w:r>
      <w:r w:rsidRPr="00E26AB8">
        <w:rPr>
          <w:b/>
          <w:szCs w:val="24"/>
        </w:rPr>
        <w:t>D</w:t>
      </w:r>
      <w:r w:rsidR="00E26AB8" w:rsidRPr="00E26AB8">
        <w:rPr>
          <w:b/>
          <w:szCs w:val="24"/>
        </w:rPr>
        <w:t xml:space="preserve">onnées de </w:t>
      </w:r>
      <w:r w:rsidRPr="00E26AB8">
        <w:rPr>
          <w:b/>
          <w:szCs w:val="24"/>
        </w:rPr>
        <w:t>S</w:t>
      </w:r>
      <w:r w:rsidR="00E26AB8" w:rsidRPr="00E26AB8">
        <w:rPr>
          <w:b/>
          <w:szCs w:val="24"/>
        </w:rPr>
        <w:t>écurité</w:t>
      </w:r>
    </w:p>
    <w:p w:rsidR="00034849" w:rsidRDefault="00034849" w:rsidP="00034849">
      <w:pPr>
        <w:pStyle w:val="Paragraphedeliste"/>
        <w:numPr>
          <w:ilvl w:val="0"/>
          <w:numId w:val="14"/>
        </w:numPr>
        <w:spacing w:after="0"/>
        <w:jc w:val="both"/>
        <w:rPr>
          <w:szCs w:val="24"/>
        </w:rPr>
      </w:pPr>
      <w:r>
        <w:rPr>
          <w:szCs w:val="24"/>
        </w:rPr>
        <w:t>Utiliser la plus petite quantité de gaz nécessaire</w:t>
      </w:r>
    </w:p>
    <w:p w:rsidR="00034849" w:rsidRDefault="00034849" w:rsidP="00034849">
      <w:pPr>
        <w:pStyle w:val="Paragraphedeliste"/>
        <w:numPr>
          <w:ilvl w:val="0"/>
          <w:numId w:val="14"/>
        </w:numPr>
        <w:spacing w:after="0"/>
        <w:jc w:val="both"/>
        <w:rPr>
          <w:szCs w:val="24"/>
        </w:rPr>
      </w:pPr>
      <w:r>
        <w:rPr>
          <w:szCs w:val="24"/>
        </w:rPr>
        <w:t xml:space="preserve">Vérifier la </w:t>
      </w:r>
      <w:r w:rsidRPr="00E26AB8">
        <w:rPr>
          <w:b/>
          <w:szCs w:val="24"/>
        </w:rPr>
        <w:t xml:space="preserve">compatibilité du matériel au gaz et à la pression </w:t>
      </w:r>
      <w:r>
        <w:rPr>
          <w:szCs w:val="24"/>
        </w:rPr>
        <w:t>(détendeurs, flexibles, raccords, …). En cas de doute contacter la cellule QSE</w:t>
      </w:r>
    </w:p>
    <w:p w:rsidR="00034849" w:rsidRDefault="00034849" w:rsidP="00034849">
      <w:pPr>
        <w:pStyle w:val="Paragraphedeliste"/>
        <w:numPr>
          <w:ilvl w:val="0"/>
          <w:numId w:val="14"/>
        </w:numPr>
        <w:spacing w:after="0"/>
        <w:jc w:val="both"/>
        <w:rPr>
          <w:szCs w:val="24"/>
        </w:rPr>
      </w:pPr>
      <w:r w:rsidRPr="00E26AB8">
        <w:rPr>
          <w:b/>
          <w:szCs w:val="24"/>
        </w:rPr>
        <w:t>Ne jamais bricoler les raccords des détendeurs</w:t>
      </w:r>
      <w:r>
        <w:rPr>
          <w:szCs w:val="24"/>
        </w:rPr>
        <w:t>. Tout détendeur qui a été démonté ne doit en aucun cas être réutilisé</w:t>
      </w:r>
      <w:r w:rsidR="00042099">
        <w:rPr>
          <w:szCs w:val="24"/>
        </w:rPr>
        <w:t xml:space="preserve"> et doit être immédiatement rapporté à la cellule QSE</w:t>
      </w:r>
    </w:p>
    <w:p w:rsidR="00034849" w:rsidRPr="00E26AB8" w:rsidRDefault="00034849" w:rsidP="00034849">
      <w:pPr>
        <w:pStyle w:val="Paragraphedeliste"/>
        <w:numPr>
          <w:ilvl w:val="0"/>
          <w:numId w:val="14"/>
        </w:numPr>
        <w:spacing w:after="0"/>
        <w:jc w:val="both"/>
        <w:rPr>
          <w:b/>
          <w:szCs w:val="24"/>
        </w:rPr>
      </w:pPr>
      <w:r w:rsidRPr="00E26AB8">
        <w:rPr>
          <w:b/>
          <w:szCs w:val="24"/>
        </w:rPr>
        <w:t>Manœuvrer lentement les robinets, à la main sans les forcer</w:t>
      </w:r>
    </w:p>
    <w:p w:rsidR="00034849" w:rsidRDefault="00034849" w:rsidP="00034849">
      <w:pPr>
        <w:pStyle w:val="Paragraphedeliste"/>
        <w:numPr>
          <w:ilvl w:val="0"/>
          <w:numId w:val="14"/>
        </w:numPr>
        <w:spacing w:after="0"/>
        <w:jc w:val="both"/>
        <w:rPr>
          <w:szCs w:val="24"/>
        </w:rPr>
      </w:pPr>
      <w:r>
        <w:rPr>
          <w:szCs w:val="24"/>
        </w:rPr>
        <w:t>Ne pas se placer de face lors des manipulations</w:t>
      </w:r>
    </w:p>
    <w:p w:rsidR="00034849" w:rsidRDefault="00034849" w:rsidP="00034849">
      <w:pPr>
        <w:pStyle w:val="Paragraphedeliste"/>
        <w:numPr>
          <w:ilvl w:val="0"/>
          <w:numId w:val="14"/>
        </w:numPr>
        <w:spacing w:after="0"/>
        <w:jc w:val="both"/>
        <w:rPr>
          <w:szCs w:val="24"/>
        </w:rPr>
      </w:pPr>
      <w:r>
        <w:rPr>
          <w:szCs w:val="24"/>
        </w:rPr>
        <w:t>Ne jamais desserrer un matériel sous pression</w:t>
      </w:r>
    </w:p>
    <w:p w:rsidR="00034849" w:rsidRDefault="00034849" w:rsidP="00034849">
      <w:pPr>
        <w:pStyle w:val="Paragraphedeliste"/>
        <w:numPr>
          <w:ilvl w:val="0"/>
          <w:numId w:val="14"/>
        </w:numPr>
        <w:spacing w:after="0"/>
        <w:jc w:val="both"/>
        <w:rPr>
          <w:szCs w:val="24"/>
        </w:rPr>
      </w:pPr>
      <w:r w:rsidRPr="00E26AB8">
        <w:rPr>
          <w:b/>
          <w:szCs w:val="24"/>
        </w:rPr>
        <w:t>Réaliser un test d’étanchéité avant utilisation</w:t>
      </w:r>
      <w:r>
        <w:rPr>
          <w:szCs w:val="24"/>
        </w:rPr>
        <w:t xml:space="preserve"> (du produit 1000bulles est à votre disposition auprès de T. Been)</w:t>
      </w:r>
    </w:p>
    <w:p w:rsidR="00034849" w:rsidRDefault="00034849" w:rsidP="00034849">
      <w:pPr>
        <w:pStyle w:val="Paragraphedeliste"/>
        <w:numPr>
          <w:ilvl w:val="0"/>
          <w:numId w:val="14"/>
        </w:numPr>
        <w:spacing w:after="0"/>
        <w:jc w:val="both"/>
        <w:rPr>
          <w:szCs w:val="24"/>
        </w:rPr>
      </w:pPr>
      <w:r>
        <w:rPr>
          <w:szCs w:val="24"/>
        </w:rPr>
        <w:t>Ne jamais transvaser une bouteille</w:t>
      </w:r>
    </w:p>
    <w:p w:rsidR="00034849" w:rsidRDefault="00034849" w:rsidP="00E26AB8">
      <w:pPr>
        <w:pStyle w:val="Paragraphedeliste"/>
        <w:numPr>
          <w:ilvl w:val="0"/>
          <w:numId w:val="14"/>
        </w:numPr>
        <w:spacing w:after="0"/>
        <w:jc w:val="both"/>
        <w:rPr>
          <w:szCs w:val="24"/>
        </w:rPr>
      </w:pPr>
      <w:r>
        <w:rPr>
          <w:szCs w:val="24"/>
        </w:rPr>
        <w:t>Signaler les accessoires usés ou détériorés</w:t>
      </w:r>
    </w:p>
    <w:p w:rsidR="00042099" w:rsidRPr="00042099" w:rsidRDefault="00042099" w:rsidP="00042099">
      <w:pPr>
        <w:spacing w:after="0"/>
        <w:ind w:left="360"/>
        <w:jc w:val="both"/>
        <w:rPr>
          <w:szCs w:val="24"/>
        </w:rPr>
      </w:pPr>
    </w:p>
    <w:p w:rsidR="00E26AB8" w:rsidRDefault="009A5B4B" w:rsidP="009A5B4B">
      <w:pPr>
        <w:spacing w:after="0"/>
        <w:jc w:val="center"/>
        <w:rPr>
          <w:szCs w:val="24"/>
        </w:rPr>
      </w:pPr>
      <w:r>
        <w:rPr>
          <w:szCs w:val="24"/>
        </w:rPr>
        <w:lastRenderedPageBreak/>
        <w:t>Compatibilité des raccords bouteilles</w:t>
      </w:r>
    </w:p>
    <w:p w:rsidR="00E26AB8" w:rsidRPr="00E26AB8" w:rsidRDefault="009A5B4B" w:rsidP="009A5B4B">
      <w:pPr>
        <w:spacing w:after="0"/>
        <w:jc w:val="center"/>
        <w:rPr>
          <w:szCs w:val="24"/>
        </w:rPr>
      </w:pPr>
      <w:r>
        <w:rPr>
          <w:noProof/>
          <w:szCs w:val="24"/>
          <w:lang w:eastAsia="fr-FR"/>
        </w:rPr>
        <w:drawing>
          <wp:inline distT="0" distB="0" distL="0" distR="0">
            <wp:extent cx="4298039" cy="4417786"/>
            <wp:effectExtent l="19050" t="0" r="7261"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30759" t="7633" r="20168" b="2700"/>
                    <a:stretch>
                      <a:fillRect/>
                    </a:stretch>
                  </pic:blipFill>
                  <pic:spPr bwMode="auto">
                    <a:xfrm>
                      <a:off x="0" y="0"/>
                      <a:ext cx="4300814" cy="4420638"/>
                    </a:xfrm>
                    <a:prstGeom prst="rect">
                      <a:avLst/>
                    </a:prstGeom>
                    <a:noFill/>
                    <a:ln w="9525">
                      <a:noFill/>
                      <a:miter lim="800000"/>
                      <a:headEnd/>
                      <a:tailEnd/>
                    </a:ln>
                  </pic:spPr>
                </pic:pic>
              </a:graphicData>
            </a:graphic>
          </wp:inline>
        </w:drawing>
      </w:r>
    </w:p>
    <w:sectPr w:rsidR="00E26AB8" w:rsidRPr="00E26AB8" w:rsidSect="00E879A8">
      <w:head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147" w:rsidRDefault="00EF6147" w:rsidP="008B5CDA">
      <w:pPr>
        <w:spacing w:after="0" w:line="240" w:lineRule="auto"/>
      </w:pPr>
      <w:r>
        <w:separator/>
      </w:r>
    </w:p>
  </w:endnote>
  <w:endnote w:type="continuationSeparator" w:id="0">
    <w:p w:rsidR="00EF6147" w:rsidRDefault="00EF6147" w:rsidP="008B5C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Univers-Condense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147" w:rsidRDefault="00EF6147" w:rsidP="008B5CDA">
      <w:pPr>
        <w:spacing w:after="0" w:line="240" w:lineRule="auto"/>
      </w:pPr>
      <w:r>
        <w:separator/>
      </w:r>
    </w:p>
  </w:footnote>
  <w:footnote w:type="continuationSeparator" w:id="0">
    <w:p w:rsidR="00EF6147" w:rsidRDefault="00EF6147" w:rsidP="008B5C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Look w:val="01E0"/>
    </w:tblPr>
    <w:tblGrid>
      <w:gridCol w:w="2641"/>
      <w:gridCol w:w="2559"/>
      <w:gridCol w:w="3077"/>
      <w:gridCol w:w="1011"/>
    </w:tblGrid>
    <w:tr w:rsidR="00EF6147" w:rsidTr="00427CDC">
      <w:trPr>
        <w:trHeight w:val="423"/>
      </w:trPr>
      <w:tc>
        <w:tcPr>
          <w:tcW w:w="2660" w:type="dxa"/>
          <w:vMerge w:val="restart"/>
          <w:vAlign w:val="center"/>
        </w:tcPr>
        <w:p w:rsidR="00EF6147" w:rsidRDefault="00EF6147" w:rsidP="00427CDC">
          <w:pPr>
            <w:pStyle w:val="En-tte"/>
            <w:ind w:firstLine="142"/>
            <w:jc w:val="left"/>
          </w:pPr>
          <w:r>
            <w:rPr>
              <w:noProof/>
            </w:rPr>
            <w:drawing>
              <wp:inline distT="0" distB="0" distL="0" distR="0">
                <wp:extent cx="1391285" cy="538480"/>
                <wp:effectExtent l="19050" t="0" r="0" b="0"/>
                <wp:docPr id="1" name="Image 1" descr="lettre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re haut"/>
                        <pic:cNvPicPr>
                          <a:picLocks noChangeAspect="1" noChangeArrowheads="1"/>
                        </pic:cNvPicPr>
                      </pic:nvPicPr>
                      <pic:blipFill>
                        <a:blip r:embed="rId1"/>
                        <a:srcRect/>
                        <a:stretch>
                          <a:fillRect/>
                        </a:stretch>
                      </pic:blipFill>
                      <pic:spPr bwMode="auto">
                        <a:xfrm>
                          <a:off x="0" y="0"/>
                          <a:ext cx="1391285" cy="538480"/>
                        </a:xfrm>
                        <a:prstGeom prst="rect">
                          <a:avLst/>
                        </a:prstGeom>
                        <a:noFill/>
                        <a:ln w="9525">
                          <a:noFill/>
                          <a:miter lim="800000"/>
                          <a:headEnd/>
                          <a:tailEnd/>
                        </a:ln>
                      </pic:spPr>
                    </pic:pic>
                  </a:graphicData>
                </a:graphic>
              </wp:inline>
            </w:drawing>
          </w:r>
        </w:p>
      </w:tc>
      <w:tc>
        <w:tcPr>
          <w:tcW w:w="7052" w:type="dxa"/>
          <w:gridSpan w:val="3"/>
          <w:shd w:val="clear" w:color="auto" w:fill="auto"/>
          <w:vAlign w:val="center"/>
        </w:tcPr>
        <w:p w:rsidR="00EF6147" w:rsidRDefault="00EF6147" w:rsidP="00427CDC">
          <w:pPr>
            <w:pStyle w:val="En-tte"/>
            <w:spacing w:before="0"/>
            <w:ind w:firstLine="0"/>
            <w:jc w:val="center"/>
            <w:rPr>
              <w:rFonts w:ascii="Arial Rounded MT Bold" w:hAnsi="Arial Rounded MT Bold"/>
              <w:sz w:val="24"/>
              <w:szCs w:val="24"/>
            </w:rPr>
          </w:pPr>
          <w:r>
            <w:rPr>
              <w:rFonts w:ascii="Arial Rounded MT Bold" w:hAnsi="Arial Rounded MT Bold"/>
              <w:sz w:val="24"/>
              <w:szCs w:val="24"/>
            </w:rPr>
            <w:t>Note d’information</w:t>
          </w:r>
        </w:p>
      </w:tc>
    </w:tr>
    <w:tr w:rsidR="00EF6147" w:rsidTr="00427CDC">
      <w:trPr>
        <w:trHeight w:val="431"/>
      </w:trPr>
      <w:tc>
        <w:tcPr>
          <w:tcW w:w="2660" w:type="dxa"/>
          <w:vMerge/>
          <w:vAlign w:val="center"/>
        </w:tcPr>
        <w:p w:rsidR="00EF6147" w:rsidRDefault="00EF6147" w:rsidP="00427CDC">
          <w:pPr>
            <w:pStyle w:val="En-tte"/>
            <w:spacing w:before="0"/>
            <w:ind w:firstLine="0"/>
            <w:jc w:val="left"/>
          </w:pPr>
        </w:p>
      </w:tc>
      <w:tc>
        <w:tcPr>
          <w:tcW w:w="7052" w:type="dxa"/>
          <w:gridSpan w:val="3"/>
          <w:shd w:val="clear" w:color="auto" w:fill="auto"/>
          <w:vAlign w:val="center"/>
        </w:tcPr>
        <w:p w:rsidR="00EF6147" w:rsidRPr="00981325" w:rsidRDefault="00EF6147" w:rsidP="00427CDC">
          <w:pPr>
            <w:pStyle w:val="En-tte"/>
            <w:spacing w:before="0"/>
            <w:ind w:firstLine="0"/>
            <w:jc w:val="center"/>
            <w:rPr>
              <w:rFonts w:ascii="Arial Rounded MT Bold" w:hAnsi="Arial Rounded MT Bold"/>
              <w:sz w:val="24"/>
              <w:szCs w:val="24"/>
            </w:rPr>
          </w:pPr>
          <w:r>
            <w:rPr>
              <w:rFonts w:ascii="Arial Rounded MT Bold" w:hAnsi="Arial Rounded MT Bold"/>
              <w:sz w:val="24"/>
              <w:szCs w:val="24"/>
            </w:rPr>
            <w:t>CIMAP - QSE</w:t>
          </w:r>
        </w:p>
      </w:tc>
    </w:tr>
    <w:tr w:rsidR="00EF6147" w:rsidRPr="00DC2CDC" w:rsidTr="00427CDC">
      <w:trPr>
        <w:trHeight w:val="400"/>
      </w:trPr>
      <w:tc>
        <w:tcPr>
          <w:tcW w:w="2660" w:type="dxa"/>
          <w:vAlign w:val="center"/>
        </w:tcPr>
        <w:p w:rsidR="00EF6147" w:rsidRPr="00DC2CDC" w:rsidRDefault="00EF6147" w:rsidP="00427CDC">
          <w:pPr>
            <w:pStyle w:val="En-tte"/>
            <w:spacing w:before="0"/>
            <w:ind w:firstLine="0"/>
            <w:jc w:val="left"/>
            <w:rPr>
              <w:sz w:val="18"/>
              <w:szCs w:val="18"/>
            </w:rPr>
          </w:pPr>
          <w:r>
            <w:rPr>
              <w:sz w:val="18"/>
              <w:szCs w:val="18"/>
            </w:rPr>
            <w:t>émetteur : Q. Legrand</w:t>
          </w:r>
        </w:p>
      </w:tc>
      <w:tc>
        <w:tcPr>
          <w:tcW w:w="2697" w:type="dxa"/>
          <w:shd w:val="clear" w:color="auto" w:fill="auto"/>
          <w:vAlign w:val="center"/>
        </w:tcPr>
        <w:p w:rsidR="00EF6147" w:rsidRDefault="00EF6147" w:rsidP="00427CDC">
          <w:pPr>
            <w:pStyle w:val="En-tte"/>
            <w:spacing w:before="0"/>
            <w:ind w:firstLine="0"/>
            <w:jc w:val="left"/>
            <w:rPr>
              <w:smallCaps/>
              <w:sz w:val="18"/>
              <w:szCs w:val="18"/>
            </w:rPr>
          </w:pPr>
          <w:r>
            <w:rPr>
              <w:smallCaps/>
              <w:sz w:val="18"/>
              <w:szCs w:val="18"/>
            </w:rPr>
            <w:t>date : 17/01/2014</w:t>
          </w:r>
        </w:p>
        <w:p w:rsidR="00EF6147" w:rsidRPr="00DC2CDC" w:rsidRDefault="00EF6147" w:rsidP="00427CDC">
          <w:pPr>
            <w:pStyle w:val="En-tte"/>
            <w:spacing w:before="0"/>
            <w:ind w:firstLine="0"/>
            <w:jc w:val="left"/>
            <w:rPr>
              <w:smallCaps/>
              <w:sz w:val="18"/>
              <w:szCs w:val="18"/>
            </w:rPr>
          </w:pPr>
          <w:r>
            <w:rPr>
              <w:smallCaps/>
              <w:sz w:val="18"/>
              <w:szCs w:val="18"/>
            </w:rPr>
            <w:t>Version : 1.0</w:t>
          </w:r>
        </w:p>
      </w:tc>
      <w:tc>
        <w:tcPr>
          <w:tcW w:w="3305" w:type="dxa"/>
          <w:shd w:val="clear" w:color="auto" w:fill="auto"/>
          <w:vAlign w:val="center"/>
        </w:tcPr>
        <w:p w:rsidR="00EF6147" w:rsidRDefault="00EF6147" w:rsidP="008B5CDA">
          <w:pPr>
            <w:pStyle w:val="En-tte"/>
            <w:spacing w:before="0"/>
            <w:ind w:firstLine="0"/>
            <w:jc w:val="left"/>
            <w:rPr>
              <w:sz w:val="18"/>
              <w:szCs w:val="18"/>
            </w:rPr>
          </w:pPr>
          <w:proofErr w:type="spellStart"/>
          <w:r w:rsidRPr="00DC2CDC">
            <w:rPr>
              <w:smallCaps/>
              <w:sz w:val="18"/>
              <w:szCs w:val="18"/>
            </w:rPr>
            <w:t>ref</w:t>
          </w:r>
          <w:proofErr w:type="spellEnd"/>
          <w:r w:rsidRPr="00DC2CDC">
            <w:rPr>
              <w:smallCaps/>
              <w:sz w:val="18"/>
              <w:szCs w:val="18"/>
            </w:rPr>
            <w:t> </w:t>
          </w:r>
          <w:r>
            <w:rPr>
              <w:sz w:val="18"/>
              <w:szCs w:val="18"/>
            </w:rPr>
            <w:t>: N-14-03</w:t>
          </w:r>
        </w:p>
      </w:tc>
      <w:tc>
        <w:tcPr>
          <w:tcW w:w="1050" w:type="dxa"/>
          <w:shd w:val="clear" w:color="auto" w:fill="auto"/>
          <w:vAlign w:val="center"/>
        </w:tcPr>
        <w:p w:rsidR="00EF6147" w:rsidRPr="00DC2CDC" w:rsidRDefault="00EF6147" w:rsidP="00427CDC">
          <w:pPr>
            <w:pStyle w:val="En-tte"/>
            <w:spacing w:before="0"/>
            <w:ind w:firstLine="0"/>
            <w:jc w:val="left"/>
            <w:rPr>
              <w:smallCaps/>
              <w:sz w:val="18"/>
              <w:szCs w:val="18"/>
            </w:rPr>
          </w:pPr>
          <w:r w:rsidRPr="00DC2CDC">
            <w:rPr>
              <w:smallCaps/>
              <w:sz w:val="18"/>
              <w:szCs w:val="18"/>
            </w:rPr>
            <w:t>page</w:t>
          </w:r>
          <w:r w:rsidRPr="00DC2CDC">
            <w:rPr>
              <w:sz w:val="18"/>
              <w:szCs w:val="18"/>
            </w:rPr>
            <w:t xml:space="preserve"> </w:t>
          </w:r>
          <w:r w:rsidR="00AD6BAA" w:rsidRPr="00DC2CDC">
            <w:rPr>
              <w:rStyle w:val="Numrodepage"/>
              <w:sz w:val="18"/>
              <w:szCs w:val="18"/>
            </w:rPr>
            <w:fldChar w:fldCharType="begin"/>
          </w:r>
          <w:r w:rsidRPr="00DC2CDC">
            <w:rPr>
              <w:rStyle w:val="Numrodepage"/>
              <w:sz w:val="18"/>
              <w:szCs w:val="18"/>
            </w:rPr>
            <w:instrText xml:space="preserve"> PAGE </w:instrText>
          </w:r>
          <w:r w:rsidR="00AD6BAA" w:rsidRPr="00DC2CDC">
            <w:rPr>
              <w:rStyle w:val="Numrodepage"/>
              <w:sz w:val="18"/>
              <w:szCs w:val="18"/>
            </w:rPr>
            <w:fldChar w:fldCharType="separate"/>
          </w:r>
          <w:r w:rsidR="002D25EF">
            <w:rPr>
              <w:rStyle w:val="Numrodepage"/>
              <w:noProof/>
              <w:sz w:val="18"/>
              <w:szCs w:val="18"/>
            </w:rPr>
            <w:t>1</w:t>
          </w:r>
          <w:r w:rsidR="00AD6BAA" w:rsidRPr="00DC2CDC">
            <w:rPr>
              <w:rStyle w:val="Numrodepage"/>
              <w:sz w:val="18"/>
              <w:szCs w:val="18"/>
            </w:rPr>
            <w:fldChar w:fldCharType="end"/>
          </w:r>
          <w:r w:rsidRPr="00DC2CDC">
            <w:rPr>
              <w:rStyle w:val="Numrodepage"/>
              <w:sz w:val="18"/>
              <w:szCs w:val="18"/>
            </w:rPr>
            <w:t>/</w:t>
          </w:r>
          <w:r w:rsidR="00AD6BAA" w:rsidRPr="00DC2CDC">
            <w:rPr>
              <w:rStyle w:val="Numrodepage"/>
              <w:sz w:val="18"/>
              <w:szCs w:val="18"/>
            </w:rPr>
            <w:fldChar w:fldCharType="begin"/>
          </w:r>
          <w:r w:rsidRPr="00DC2CDC">
            <w:rPr>
              <w:rStyle w:val="Numrodepage"/>
              <w:sz w:val="18"/>
              <w:szCs w:val="18"/>
            </w:rPr>
            <w:instrText xml:space="preserve"> NUMPAGES </w:instrText>
          </w:r>
          <w:r w:rsidR="00AD6BAA" w:rsidRPr="00DC2CDC">
            <w:rPr>
              <w:rStyle w:val="Numrodepage"/>
              <w:sz w:val="18"/>
              <w:szCs w:val="18"/>
            </w:rPr>
            <w:fldChar w:fldCharType="separate"/>
          </w:r>
          <w:r w:rsidR="002D25EF">
            <w:rPr>
              <w:rStyle w:val="Numrodepage"/>
              <w:noProof/>
              <w:sz w:val="18"/>
              <w:szCs w:val="18"/>
            </w:rPr>
            <w:t>3</w:t>
          </w:r>
          <w:r w:rsidR="00AD6BAA" w:rsidRPr="00DC2CDC">
            <w:rPr>
              <w:rStyle w:val="Numrodepage"/>
              <w:sz w:val="18"/>
              <w:szCs w:val="18"/>
            </w:rPr>
            <w:fldChar w:fldCharType="end"/>
          </w:r>
        </w:p>
      </w:tc>
    </w:tr>
  </w:tbl>
  <w:p w:rsidR="00EF6147" w:rsidRDefault="00EF614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5FA1"/>
    <w:multiLevelType w:val="hybridMultilevel"/>
    <w:tmpl w:val="21E26108"/>
    <w:lvl w:ilvl="0" w:tplc="4046101C">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3A5A52"/>
    <w:multiLevelType w:val="hybridMultilevel"/>
    <w:tmpl w:val="8AF685C6"/>
    <w:lvl w:ilvl="0" w:tplc="FF1EA75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085541C"/>
    <w:multiLevelType w:val="hybridMultilevel"/>
    <w:tmpl w:val="B9127D7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33E91FAB"/>
    <w:multiLevelType w:val="multilevel"/>
    <w:tmpl w:val="17D2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3E4A24"/>
    <w:multiLevelType w:val="hybridMultilevel"/>
    <w:tmpl w:val="148A5140"/>
    <w:lvl w:ilvl="0" w:tplc="65F2856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936D5A"/>
    <w:multiLevelType w:val="hybridMultilevel"/>
    <w:tmpl w:val="62BE8006"/>
    <w:lvl w:ilvl="0" w:tplc="325E9908">
      <w:start w:val="14"/>
      <w:numFmt w:val="bullet"/>
      <w:lvlText w:val="-"/>
      <w:lvlJc w:val="left"/>
      <w:pPr>
        <w:tabs>
          <w:tab w:val="num" w:pos="720"/>
        </w:tabs>
        <w:ind w:left="720" w:hanging="360"/>
      </w:pPr>
      <w:rPr>
        <w:rFonts w:ascii="Times New Roman" w:eastAsia="Times" w:hAnsi="Times New Roman" w:cs="Times New Roman" w:hint="default"/>
        <w:color w:val="auto"/>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B990BDA"/>
    <w:multiLevelType w:val="multilevel"/>
    <w:tmpl w:val="BB7E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247D2F"/>
    <w:multiLevelType w:val="multilevel"/>
    <w:tmpl w:val="6F6A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F56C4D"/>
    <w:multiLevelType w:val="multilevel"/>
    <w:tmpl w:val="2E22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E47B50"/>
    <w:multiLevelType w:val="hybridMultilevel"/>
    <w:tmpl w:val="F3F0ED34"/>
    <w:lvl w:ilvl="0" w:tplc="4046101C">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5C75A9D"/>
    <w:multiLevelType w:val="hybridMultilevel"/>
    <w:tmpl w:val="F46689D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6CE42FC7"/>
    <w:multiLevelType w:val="hybridMultilevel"/>
    <w:tmpl w:val="11DA53DA"/>
    <w:lvl w:ilvl="0" w:tplc="C9DA55A6">
      <w:start w:val="4"/>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FF97D77"/>
    <w:multiLevelType w:val="hybridMultilevel"/>
    <w:tmpl w:val="A2369A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4AA6D67"/>
    <w:multiLevelType w:val="hybridMultilevel"/>
    <w:tmpl w:val="94B676D4"/>
    <w:lvl w:ilvl="0" w:tplc="4D10E2A0">
      <w:start w:val="3"/>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CA526E7"/>
    <w:multiLevelType w:val="hybridMultilevel"/>
    <w:tmpl w:val="A5F06C8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6"/>
  </w:num>
  <w:num w:numId="5">
    <w:abstractNumId w:val="3"/>
  </w:num>
  <w:num w:numId="6">
    <w:abstractNumId w:val="7"/>
  </w:num>
  <w:num w:numId="7">
    <w:abstractNumId w:val="14"/>
  </w:num>
  <w:num w:numId="8">
    <w:abstractNumId w:val="13"/>
  </w:num>
  <w:num w:numId="9">
    <w:abstractNumId w:val="8"/>
  </w:num>
  <w:num w:numId="10">
    <w:abstractNumId w:val="11"/>
  </w:num>
  <w:num w:numId="11">
    <w:abstractNumId w:val="2"/>
  </w:num>
  <w:num w:numId="12">
    <w:abstractNumId w:val="10"/>
  </w:num>
  <w:num w:numId="13">
    <w:abstractNumId w:val="5"/>
  </w:num>
  <w:num w:numId="14">
    <w:abstractNumId w:val="1"/>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7"/>
  <w:proofState w:spelling="clean" w:grammar="clean"/>
  <w:defaultTabStop w:val="708"/>
  <w:hyphenationZone w:val="425"/>
  <w:characterSpacingControl w:val="doNotCompress"/>
  <w:footnotePr>
    <w:footnote w:id="-1"/>
    <w:footnote w:id="0"/>
  </w:footnotePr>
  <w:endnotePr>
    <w:endnote w:id="-1"/>
    <w:endnote w:id="0"/>
  </w:endnotePr>
  <w:compat/>
  <w:rsids>
    <w:rsidRoot w:val="008B5CDA"/>
    <w:rsid w:val="00011995"/>
    <w:rsid w:val="00012B09"/>
    <w:rsid w:val="00024B12"/>
    <w:rsid w:val="00034849"/>
    <w:rsid w:val="00042099"/>
    <w:rsid w:val="00085A5B"/>
    <w:rsid w:val="000911E3"/>
    <w:rsid w:val="000C495A"/>
    <w:rsid w:val="000E31CF"/>
    <w:rsid w:val="000E5A93"/>
    <w:rsid w:val="00117018"/>
    <w:rsid w:val="001366DB"/>
    <w:rsid w:val="00166703"/>
    <w:rsid w:val="00172CBF"/>
    <w:rsid w:val="001860FB"/>
    <w:rsid w:val="001B7B2B"/>
    <w:rsid w:val="00216E29"/>
    <w:rsid w:val="002422FC"/>
    <w:rsid w:val="002514C4"/>
    <w:rsid w:val="002838E5"/>
    <w:rsid w:val="00285CD5"/>
    <w:rsid w:val="002A4314"/>
    <w:rsid w:val="002B69C1"/>
    <w:rsid w:val="002C7233"/>
    <w:rsid w:val="002D25EF"/>
    <w:rsid w:val="00304829"/>
    <w:rsid w:val="003A4AC9"/>
    <w:rsid w:val="003B0FAF"/>
    <w:rsid w:val="003E6D53"/>
    <w:rsid w:val="00400BAB"/>
    <w:rsid w:val="00400BC0"/>
    <w:rsid w:val="00402315"/>
    <w:rsid w:val="00425805"/>
    <w:rsid w:val="00427CDC"/>
    <w:rsid w:val="0043272E"/>
    <w:rsid w:val="00446A86"/>
    <w:rsid w:val="00491D2E"/>
    <w:rsid w:val="00495C84"/>
    <w:rsid w:val="004C74ED"/>
    <w:rsid w:val="004D0970"/>
    <w:rsid w:val="004E3BB6"/>
    <w:rsid w:val="004E6A29"/>
    <w:rsid w:val="004F447C"/>
    <w:rsid w:val="00503A2F"/>
    <w:rsid w:val="005276AC"/>
    <w:rsid w:val="00533E22"/>
    <w:rsid w:val="00536D1D"/>
    <w:rsid w:val="005C1A30"/>
    <w:rsid w:val="005C52B7"/>
    <w:rsid w:val="005D20C9"/>
    <w:rsid w:val="005F510D"/>
    <w:rsid w:val="00625883"/>
    <w:rsid w:val="006C0629"/>
    <w:rsid w:val="006C77B3"/>
    <w:rsid w:val="006D270B"/>
    <w:rsid w:val="006E3427"/>
    <w:rsid w:val="00714E15"/>
    <w:rsid w:val="00716C3D"/>
    <w:rsid w:val="00721C14"/>
    <w:rsid w:val="00725DC9"/>
    <w:rsid w:val="00726E93"/>
    <w:rsid w:val="00740A3A"/>
    <w:rsid w:val="00762B3B"/>
    <w:rsid w:val="007B3BD7"/>
    <w:rsid w:val="007E7F21"/>
    <w:rsid w:val="007F5626"/>
    <w:rsid w:val="00811271"/>
    <w:rsid w:val="0083742D"/>
    <w:rsid w:val="00844573"/>
    <w:rsid w:val="00863191"/>
    <w:rsid w:val="008673D3"/>
    <w:rsid w:val="008724A1"/>
    <w:rsid w:val="00882C57"/>
    <w:rsid w:val="008A20E3"/>
    <w:rsid w:val="008B5CDA"/>
    <w:rsid w:val="008E726C"/>
    <w:rsid w:val="00941541"/>
    <w:rsid w:val="00944445"/>
    <w:rsid w:val="009602BC"/>
    <w:rsid w:val="00974D89"/>
    <w:rsid w:val="009909CE"/>
    <w:rsid w:val="009964F2"/>
    <w:rsid w:val="009A3720"/>
    <w:rsid w:val="009A5B4B"/>
    <w:rsid w:val="009B210F"/>
    <w:rsid w:val="009B31AB"/>
    <w:rsid w:val="009C095D"/>
    <w:rsid w:val="009C285D"/>
    <w:rsid w:val="009E6846"/>
    <w:rsid w:val="00A34764"/>
    <w:rsid w:val="00A50140"/>
    <w:rsid w:val="00A631CA"/>
    <w:rsid w:val="00A81D14"/>
    <w:rsid w:val="00AB5A9E"/>
    <w:rsid w:val="00AD6BAA"/>
    <w:rsid w:val="00AE4AAD"/>
    <w:rsid w:val="00B55D2C"/>
    <w:rsid w:val="00B8708A"/>
    <w:rsid w:val="00BB1021"/>
    <w:rsid w:val="00BD5579"/>
    <w:rsid w:val="00BD5D2B"/>
    <w:rsid w:val="00C01323"/>
    <w:rsid w:val="00C2726A"/>
    <w:rsid w:val="00C33E1A"/>
    <w:rsid w:val="00C62844"/>
    <w:rsid w:val="00C8562A"/>
    <w:rsid w:val="00C903D4"/>
    <w:rsid w:val="00CA1105"/>
    <w:rsid w:val="00CB1A22"/>
    <w:rsid w:val="00CC27A6"/>
    <w:rsid w:val="00CC47B4"/>
    <w:rsid w:val="00CE19DF"/>
    <w:rsid w:val="00CF60EC"/>
    <w:rsid w:val="00CF6802"/>
    <w:rsid w:val="00D300E8"/>
    <w:rsid w:val="00D437EE"/>
    <w:rsid w:val="00D64A12"/>
    <w:rsid w:val="00D6503D"/>
    <w:rsid w:val="00D963E2"/>
    <w:rsid w:val="00D9640D"/>
    <w:rsid w:val="00DB0BF0"/>
    <w:rsid w:val="00DC6EA0"/>
    <w:rsid w:val="00DD0F76"/>
    <w:rsid w:val="00DF7636"/>
    <w:rsid w:val="00E26AB8"/>
    <w:rsid w:val="00E56059"/>
    <w:rsid w:val="00E74C24"/>
    <w:rsid w:val="00E857E9"/>
    <w:rsid w:val="00E864BF"/>
    <w:rsid w:val="00E879A8"/>
    <w:rsid w:val="00E91AB8"/>
    <w:rsid w:val="00ED03FC"/>
    <w:rsid w:val="00EF6147"/>
    <w:rsid w:val="00F24A3C"/>
    <w:rsid w:val="00F408E2"/>
    <w:rsid w:val="00F55A1E"/>
    <w:rsid w:val="00F644D4"/>
    <w:rsid w:val="00FA11BD"/>
    <w:rsid w:val="00FA7282"/>
    <w:rsid w:val="00FB1309"/>
    <w:rsid w:val="00FE76A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9A8"/>
  </w:style>
  <w:style w:type="paragraph" w:styleId="Titre3">
    <w:name w:val="heading 3"/>
    <w:basedOn w:val="Normal"/>
    <w:link w:val="Titre3Car"/>
    <w:uiPriority w:val="9"/>
    <w:qFormat/>
    <w:rsid w:val="001366D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B5CD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B5CDA"/>
  </w:style>
  <w:style w:type="paragraph" w:styleId="Pieddepage">
    <w:name w:val="footer"/>
    <w:basedOn w:val="Normal"/>
    <w:link w:val="PieddepageCar"/>
    <w:uiPriority w:val="99"/>
    <w:semiHidden/>
    <w:unhideWhenUsed/>
    <w:rsid w:val="008B5CD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B5CDA"/>
  </w:style>
  <w:style w:type="table" w:styleId="Grilledutableau">
    <w:name w:val="Table Grid"/>
    <w:basedOn w:val="TableauNormal"/>
    <w:rsid w:val="008B5CDA"/>
    <w:pPr>
      <w:spacing w:before="120" w:after="0" w:line="280" w:lineRule="atLeast"/>
      <w:ind w:firstLine="340"/>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8B5CDA"/>
  </w:style>
  <w:style w:type="paragraph" w:customStyle="1" w:styleId="Default">
    <w:name w:val="Default"/>
    <w:rsid w:val="00721C14"/>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0911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11E3"/>
    <w:rPr>
      <w:rFonts w:ascii="Tahoma" w:hAnsi="Tahoma" w:cs="Tahoma"/>
      <w:sz w:val="16"/>
      <w:szCs w:val="16"/>
    </w:rPr>
  </w:style>
  <w:style w:type="character" w:styleId="lev">
    <w:name w:val="Strong"/>
    <w:basedOn w:val="Policepardfaut"/>
    <w:uiPriority w:val="22"/>
    <w:qFormat/>
    <w:rsid w:val="00844573"/>
    <w:rPr>
      <w:b/>
      <w:bCs/>
    </w:rPr>
  </w:style>
  <w:style w:type="paragraph" w:styleId="Paragraphedeliste">
    <w:name w:val="List Paragraph"/>
    <w:basedOn w:val="Normal"/>
    <w:uiPriority w:val="34"/>
    <w:qFormat/>
    <w:rsid w:val="00FB1309"/>
    <w:pPr>
      <w:ind w:left="720"/>
      <w:contextualSpacing/>
    </w:pPr>
  </w:style>
  <w:style w:type="paragraph" w:customStyle="1" w:styleId="titreliste">
    <w:name w:val="titre_liste"/>
    <w:basedOn w:val="Normal"/>
    <w:rsid w:val="001366D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1366DB"/>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1366D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366DB"/>
    <w:rPr>
      <w:color w:val="0000FF"/>
      <w:u w:val="single"/>
    </w:rPr>
  </w:style>
  <w:style w:type="character" w:customStyle="1" w:styleId="definition">
    <w:name w:val="definition"/>
    <w:basedOn w:val="Policepardfaut"/>
    <w:rsid w:val="001366DB"/>
  </w:style>
</w:styles>
</file>

<file path=word/webSettings.xml><?xml version="1.0" encoding="utf-8"?>
<w:webSettings xmlns:r="http://schemas.openxmlformats.org/officeDocument/2006/relationships" xmlns:w="http://schemas.openxmlformats.org/wordprocessingml/2006/main">
  <w:divs>
    <w:div w:id="607588988">
      <w:bodyDiv w:val="1"/>
      <w:marLeft w:val="0"/>
      <w:marRight w:val="0"/>
      <w:marTop w:val="0"/>
      <w:marBottom w:val="0"/>
      <w:divBdr>
        <w:top w:val="none" w:sz="0" w:space="0" w:color="auto"/>
        <w:left w:val="none" w:sz="0" w:space="0" w:color="auto"/>
        <w:bottom w:val="none" w:sz="0" w:space="0" w:color="auto"/>
        <w:right w:val="none" w:sz="0" w:space="0" w:color="auto"/>
      </w:divBdr>
      <w:divsChild>
        <w:div w:id="295722795">
          <w:marLeft w:val="0"/>
          <w:marRight w:val="0"/>
          <w:marTop w:val="0"/>
          <w:marBottom w:val="0"/>
          <w:divBdr>
            <w:top w:val="none" w:sz="0" w:space="0" w:color="auto"/>
            <w:left w:val="none" w:sz="0" w:space="0" w:color="auto"/>
            <w:bottom w:val="none" w:sz="0" w:space="0" w:color="auto"/>
            <w:right w:val="none" w:sz="0" w:space="0" w:color="auto"/>
          </w:divBdr>
        </w:div>
      </w:divsChild>
    </w:div>
    <w:div w:id="839348777">
      <w:bodyDiv w:val="1"/>
      <w:marLeft w:val="0"/>
      <w:marRight w:val="0"/>
      <w:marTop w:val="0"/>
      <w:marBottom w:val="0"/>
      <w:divBdr>
        <w:top w:val="none" w:sz="0" w:space="0" w:color="auto"/>
        <w:left w:val="none" w:sz="0" w:space="0" w:color="auto"/>
        <w:bottom w:val="none" w:sz="0" w:space="0" w:color="auto"/>
        <w:right w:val="none" w:sz="0" w:space="0" w:color="auto"/>
      </w:divBdr>
      <w:divsChild>
        <w:div w:id="501549878">
          <w:marLeft w:val="0"/>
          <w:marRight w:val="0"/>
          <w:marTop w:val="0"/>
          <w:marBottom w:val="0"/>
          <w:divBdr>
            <w:top w:val="none" w:sz="0" w:space="0" w:color="auto"/>
            <w:left w:val="none" w:sz="0" w:space="0" w:color="auto"/>
            <w:bottom w:val="none" w:sz="0" w:space="0" w:color="auto"/>
            <w:right w:val="none" w:sz="0" w:space="0" w:color="auto"/>
          </w:divBdr>
        </w:div>
      </w:divsChild>
    </w:div>
    <w:div w:id="1252811940">
      <w:bodyDiv w:val="1"/>
      <w:marLeft w:val="0"/>
      <w:marRight w:val="0"/>
      <w:marTop w:val="0"/>
      <w:marBottom w:val="0"/>
      <w:divBdr>
        <w:top w:val="none" w:sz="0" w:space="0" w:color="auto"/>
        <w:left w:val="none" w:sz="0" w:space="0" w:color="auto"/>
        <w:bottom w:val="none" w:sz="0" w:space="0" w:color="auto"/>
        <w:right w:val="none" w:sz="0" w:space="0" w:color="auto"/>
      </w:divBdr>
    </w:div>
    <w:div w:id="178102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CBD080-FE1A-4E05-97E6-5EF6A031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3</Pages>
  <Words>647</Words>
  <Characters>3563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legrand</dc:creator>
  <cp:lastModifiedBy>legrand</cp:lastModifiedBy>
  <cp:revision>7</cp:revision>
  <cp:lastPrinted>2014-01-28T10:00:00Z</cp:lastPrinted>
  <dcterms:created xsi:type="dcterms:W3CDTF">2014-01-17T14:16:00Z</dcterms:created>
  <dcterms:modified xsi:type="dcterms:W3CDTF">2014-01-28T10:07:00Z</dcterms:modified>
</cp:coreProperties>
</file>